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Anja Weller</w:t>
        <w:br/>
        <w:t>Weidenblütenweg 6, 97074 Würzburg</w:t>
      </w:r>
    </w:p>
    <w:p>
      <w:r>
        <w:t>An die Stadt Würzburg, Rechtsstelle</w:t>
        <w:br/>
        <w:t>Mainlaubplatz 1, 97070 Würzburg</w:t>
      </w:r>
    </w:p>
    <w:p>
      <w:r>
        <w:t>02.10.2026</w:t>
      </w:r>
    </w:p>
    <w:p>
      <w:pPr>
        <w:pStyle w:val="Title"/>
      </w:pPr>
      <w:r>
        <w:t>Adebayo – ersetzende Schadensberechnung</w:t>
      </w:r>
    </w:p>
    <w:p>
      <w:r>
        <w:t>Sehr geehrte Frau Holler,</w:t>
      </w:r>
    </w:p>
    <w:p>
      <w:r>
        <w:t>die Forderung vom 30. September wird nach ergänzender Prüfung durch eine Forderung von 860,00 EUR ersetzt. Die damalige Aufstellung enthielt 840,00 EUR Miete und 40,00 EUR Bereitstellungszinsen. Die Miete wäre jedoch bei rechtmäßiger Nutzung ebenso angefallen. Meine Mandantin kann sie nicht ohne Weiteres als zusätzlichen Vermögensabfluss ansetzen. Ebenso sind bei dem ursprünglich geplanten Kreditabruf ersparte reguläre Zinsen zu berücksichtigen.</w:t>
      </w:r>
    </w:p>
    <w:p>
      <w:r>
        <w:t>Neu liegt die Bestätigung der Formblatt Innenräume GmbH vor. Sie hatte am 11. Mai zwei zusammengehörende Beratungen am 12. Juni und 10. Juli für insgesamt 1.080,00 EUR netto fest beauftragt. Der Auftrag entfiel am 8. Juni, weil das zugesagte abgeschlossene Büro mangels Genehmigung und Ausbau nicht verfügbar war. Eine Nachholung, Vergütung oder Ersatzbuchung gab es nicht. Die zunächst allein auf Raumkosten gerichtete Forderung beruhte darauf, dass meine Mandantin die geschäftliche Absage noch nicht schriftlich vorlegen konnte. Nun wird ausdrücklich der entgangene Deckungsbeitrag geltend gemacht; eine zusätzliche Erstattung der Mieten wird nicht verlangt.</w:t>
      </w:r>
    </w:p>
    <w:p>
      <w:r>
        <w:t>Vom Honorar sind 180,00 EUR netto nicht angefallene Fremddruckkosten abzuziehen. Meine Mandantin hatte hierfür ein Angebot von Otmar Selim, Druckerei Papierfächer, erhalten. Die Mappen wurden nicht bestellt; der Anbieter kann Preis und fehlende Lieferung bestätigen. Weitere umsatzabhängige Fremdkosten waren bei diesem Paket nicht vorgesehen. Ihre eigene Zeit konnte meine Mandantin für allgemeine Bürovorbereitung nutzen; eine andere vergütete Arbeit ersetzte die ausgefallenen Sitzungen nicht.</w:t>
      </w:r>
    </w:p>
    <w:p>
      <w:r>
        <w:t>Damit ergibt sich zunächst ein ausgefallener Deckungsbeitrag von 900,00 EUR. Bei planmäßigem Abruf wären 80,00 EUR Kreditzinsen angefallen, tatsächlich entstanden 40,00 EUR Bereitstellung. Diese Ersparnis von 40,00 EUR wird abgezogen. Es verbleiben 860,00 EUR. Die Vorsteuer aus nicht hergestellten Druckmappen und Umsatzsteuer auf nicht erbrachte Beratungen werden nicht als Schaden beansprucht.</w:t>
      </w:r>
    </w:p>
    <w:p>
      <w:r>
        <w:t>Herr Aumüller bestätigt das konkrete Ausbauzeitfenster bei einer Genehmigung bis 20. Mai. Ihr eigener Vermerk bezeichnet den Antrag seit 12. Mai als entscheidungsreif; am 19. Mai lag bereits ein Entwurf zur Unterschrift vor, allerdings mit dem fremden Maschinenbetrieb. Bitte erläutern Sie deshalb konkret, welche sachlichen Kontrollschritte bei richtiger Zuordnung noch bis nach dem 20. Mai erforderlich gewesen wären. Wir behaupten keine gesetzliche Genehmigungsfrist bis zu unserem Wunschtermin.</w:t>
      </w:r>
    </w:p>
    <w:p>
      <w:r>
        <w:t>Die gesetzte Antwortfrist bis 12. Oktober bleibt bestehen. Verwaltungsgerichtliche Kosten sind weiterhin nicht Gegenstand dieser Forderung.</w:t>
      </w:r>
    </w:p>
    <w:p>
      <w:r>
        <w:t>Mit freundlichen Grüßen</w:t>
        <w:br/>
        <w:t>Anja Weller</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Adebayo – ersetzende Schadensberechnung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