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Rechtsstelle</w:t>
        <w:br/>
        <w:t>Mainlaubplatz 1, 97070 Würzburg</w:t>
      </w:r>
    </w:p>
    <w:p>
      <w:r>
        <w:t>An Rechtsanwältin Anja Weller</w:t>
        <w:br/>
        <w:t>Weidenblütenweg 6, 97074 Würzburg</w:t>
      </w:r>
    </w:p>
    <w:p>
      <w:r>
        <w:t>05.10.2026</w:t>
      </w:r>
    </w:p>
    <w:p>
      <w:pPr>
        <w:pStyle w:val="Title"/>
      </w:pPr>
      <w:r>
        <w:t>Adebayo – neue Forderungsgrundlage und offene Kausalität</w:t>
      </w:r>
    </w:p>
    <w:p>
      <w:r>
        <w:t>Sehr geehrte Frau Weller,</w:t>
      </w:r>
    </w:p>
    <w:p>
      <w:r>
        <w:t>wir nehmen zur Kenntnis, dass Ihre Mandantin nun 860,00 EUR aus einem ausgefallenen konkreten Auftrag verlangt und die frühere Addition von Mietaufwand und Bereitstellungszinsen ersetzt. Die zusätzliche Kundenbestätigung und der Finanzierungsvergleich werden berücksichtigt. Die ursprüngliche Forderung bleibt zur Dokumentation der Entwicklung in der Akte.</w:t>
      </w:r>
    </w:p>
    <w:p>
      <w:r>
        <w:t>Der Zuordnungsfehler im Versagungsbescheid und die unveränderte Genehmigung vom 3. August werden nicht in Abrede gestellt. Auch die Vorbereitung eines Entwurfs am 19. Mai ist dokumentiert. Daraus folgt aus unserer Sicht jedoch nicht schon, dass bei richtiger Bearbeitung bis zum 20. Mai unterschrieben und bekannt gegeben worden wäre. Die abschließende Kontrolle war noch offen. Aus dem Kalender lässt sich deren hypothetischer Ablauf nicht verlässlich rekonstruieren. Wir können derzeit keinen zusätzlichen materiellen Ablehnungsgrund benennen, der bei der Augustprüfung festgestellt worden wäre.</w:t>
      </w:r>
    </w:p>
    <w:p>
      <w:r>
        <w:t>Zur neuen Kundenforderung fragen wir, weshalb keine andere geeignete Besprechungsmöglichkeit verwendet werden konnte und ob der Auftrag trotz der Versagung wenigstens teilweise hätte erhalten werden können. Ebenso bedarf die Höhe der ersparten Druckkosten einer Bestätigung durch den Anbieter; die Kundin hat dazu ausdrücklich keine eigene Kenntnis. Ihre neue Berechnung berücksichtigt zwar die regulären Kreditzinsen. Auch weitere ersparte Ausgaben oder tatsächliche Ersatzaufträge wären jedoch einzubeziehen.</w:t>
      </w:r>
    </w:p>
    <w:p>
      <w:r>
        <w:t>Die Verpflichtungsklage vom 17. Juni und Ihre Erinnerungen sind bekannt. Ob ein früher oder zusätzlich beantragter vorläufiger Rechtsschutz den Schaden hätte vermeiden können, bleibt rechtlich und tatsächlich zu prüfen. Allein aus der späteren Abhilfe ergibt sich keine Entscheidung über den Zahlungsanspruch. Die Erklärung der Erledigung im Verwaltungsprozess wird in diesem Schreiben weder angegriffen noch kostenrechtlich bewertet.</w:t>
      </w:r>
    </w:p>
    <w:p>
      <w:r>
        <w:t>Eine Anerkennung des Betrags ist damit nicht verbunden. Eine abschließende Stellungnahme innerhalb der laufenden Antwortfrist wird vorbereitet. Die vorhandenen Bearbeitungsvermerke werden unverändert aufbewahrt; eine nachträgliche sichere Rekonstruktion des hypothetischen Zeichnungstags liegt nicht vor.</w:t>
      </w:r>
    </w:p>
    <w:p>
      <w:r>
        <w:t>Mit freundlichen Grüßen</w:t>
        <w:br/>
        <w:t>Gertraud Holler</w:t>
        <w:br/>
        <w:t>Rechtsstelle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Adebayo – neue Forderungsgrundlage und offene Kausalität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