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Rechtsstelle, Mainlaubplatz 1, 97070 Würzburg</w:t>
      </w:r>
    </w:p>
    <w:p>
      <w:r>
        <w:t>Kommunalversicherung Mainbogen VVaG, Kornfalterweg 6, 97076 Würzburg</w:t>
      </w:r>
    </w:p>
    <w:p>
      <w:r>
        <w:t>05.10.2026</w:t>
      </w:r>
    </w:p>
    <w:p>
      <w:pPr>
        <w:pStyle w:val="Title"/>
      </w:pPr>
      <w:r>
        <w:t>Adebayo – neue Anspruchsberechnung und Deckungszuordnung</w:t>
      </w:r>
    </w:p>
    <w:p>
      <w:r>
        <w:t>Sehr geehrter Herr Hasenwinkel,</w:t>
      </w:r>
    </w:p>
    <w:p>
      <w:r>
        <w:t>nach der heutigen erstmaligen Zuordnung unserer Versicherungsunterlagen melden wir den Vorgang Adebayo zum Vertrag KM-W-2026. Die bislang ohne Deckungsunterlagen arbeitende Rechtsstelle hat die ursprüngliche Mietkostenforderung inzwischen mit der nachgereichten Kundenbestätigung abgeglichen. Der aktuelle gegnerische Entwurf verlangt 860,00 EUR. Die früheren Unterlagen werden nicht ersetzt; die Berechnungsänderung soll für die Prüfung nachvollziehbar bleiben.</w:t>
      </w:r>
    </w:p>
    <w:p>
      <w:r>
        <w:t>Die Klägerseite setzt jetzt 1.080,00 EUR entgangenes Beratungshonorar an, zieht 180,00 EUR ersparte variable Kosten und 80,00 EUR hypothetische reguläre Kreditzinsen ab und addiert 40,00 EUR tatsächlich belastete Bereitstellungszinsen. Die Miete wird nicht zusätzlich verlangt, weil sie auch bei rechtzeitiger Genehmigung angefallen wäre. Bitte beurteilen Sie den neuen Anspruch auf dieser Grundlage und nicht auf der früheren Summe bloßer Raumkosten.</w:t>
      </w:r>
    </w:p>
    <w:p>
      <w:r>
        <w:t>Unsere Bauaufsicht hatte aus einem anderen Vorgang Maschinen- und Lieferverkehr übernommen, obwohl ein Büro mit zwei Arbeitsplätzen beantragt war. Der Fehler wurde nach der Verpflichtungsklage erkannt. Die anschließende erneute Ortsprüfung ergab keine neue Anforderung. Gleichwohl ist noch zu klären, wann eine fehlerfreie Bearbeitung einschließlich Zeichnung abgeschlossen gewesen wäre, wann Handwerker und Ausstattung bereitgestanden hätten und ob der betreffende Kundenauftrag dann tatsächlich durchgeführt worden wäre. Die spätere Genehmigung allein beantwortet diese Kausalitätsfragen nicht.</w:t>
      </w:r>
    </w:p>
    <w:p>
      <w:r>
        <w:t>Die Stadt ist als kreisfreie Stadt selbst untere Bauaufsichtsbehörde. Das Landratsamt war an dieser Entscheidung nicht beteiligt. Wir möchten deshalb weder dort eine fingierte Genehmigungszuständigkeit abfragen noch eine weitere Körperschaft allein wegen der allgemeinen Bezeichnung „Bauamt“ in die Schadenakte aufnehmen. Die Kanzlei prüft für uns Haftung und den rechtzeitig ergriffenen verwaltungsgerichtlichen Rechtsschutz.</w:t>
      </w:r>
    </w:p>
    <w:p>
      <w:r>
        <w:t>Bitte bestätigen Sie den Umgang mit reinen Vermögensschäden, Selbstbehalt und Abwehrkosten. Bis zum 12. Oktober müssen wir der gegnerischen Anwältin antworten. Keine Zahlung wurde veranlasst. Eine spätere Einigung müsste ausdrücklich den geltend gemachten Zeitraum und die hier bereinigte Gewinnrechnung erfassen, ohne die Kosten des anderen Gerichtsverfahrens stillschweigend mitzuentscheiden.</w:t>
      </w:r>
    </w:p>
    <w:p>
      <w:r>
        <w:t>Mit freundlichen Grüßen</w:t>
        <w:br/>
        <w:t>Gertraud Holler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Adebayo – neue Anspruchsberechnung und Deckungszuordnung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