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Kommunalversicherung Mainbogen VVaG, Kornfalterweg 6, 97076 Würzburg</w:t>
      </w:r>
    </w:p>
    <w:p>
      <w:r>
        <w:t>Stadt Würzburg, Rechtsstelle, Mainlaubplatz 1, 97070 Würzburg</w:t>
      </w:r>
    </w:p>
    <w:p>
      <w:r>
        <w:t>05.10.2026</w:t>
      </w:r>
    </w:p>
    <w:p>
      <w:pPr>
        <w:pStyle w:val="Title"/>
      </w:pPr>
      <w:r>
        <w:t>Adebayo – Haftungsprüfung und fehlende Großschadenmeldung</w:t>
      </w:r>
    </w:p>
    <w:p>
      <w:r>
        <w:t>Sehr geehrte Frau Holler,</w:t>
      </w:r>
    </w:p>
    <w:p>
      <w:r>
        <w:t>wir führen Ihre Nachmeldung unter MB-W-26086. Der Vertragsauszug erfasst fahrlässig verursachte reine Vermögensschäden aus der Tätigkeit der städtischen Bauaufsicht bis 1.000.000,00 EUR je Schadenereignis. Die vereinbarte Selbstbeteiligung beträgt 1.000,00 EUR. Bei einer vollständig berechtigten Hauptforderung von 860,00 EUR läge diese damit vollständig bei der Stadt. Erforderliche Abwehrkosten sind gesondert zu behandeln. Der Selbstbehalt trifft keine Aussage über die Berechtigung der Forderung.</w:t>
      </w:r>
    </w:p>
    <w:p>
      <w:r>
        <w:t>Nach dem Bearbeitungsvermerk ist der übernommene Sachverhalt zum Maschinenbetrieb ein konkreter Fehler, keine bloß vertretbare unterschiedliche Auslegung des wirklichen Bürovorhabens. Für die Frage des verursachten Geldschadens sind jedoch weitere Schritte erforderlich. Der Zeitpunkt der Entscheidungsreife ist nicht automatisch der Zeitpunkt einer zugestellten Genehmigung. Die Klägerseite muss erläutern, ab wann sie den Raum nach genehmigter Wandöffnung tatsächlich hätte nutzen können und weshalb der geltend gemachte Auftrag gerade in dem verlorenen Zeitraum ausgefallen ist.</w:t>
      </w:r>
    </w:p>
    <w:p>
      <w:r>
        <w:t>Die neue Rechnung ist gegenüber einer Addition von Miete und vollem Honorar methodisch besser abgegrenzt. Sie darf trotzdem nicht ungeprüft als bewiesen übernommen werden. Bitte kontrollieren Sie die 180,00 EUR variablen Kosten, die tatsächliche Bindung des Kunden und den angesetzten hypothetischen Kreditzins. Die 40,00 EUR Bereitstellungszinsen sind belegt; daneben auch noch dieselben regulären Zinsen als Schaden zu verlangen, würde tatsächlichen und hypothetischen Verlauf vermischen. Die Miete läuft in beiden Verläufen und bildet keinen zusätzlichen Differenzposten.</w:t>
      </w:r>
    </w:p>
    <w:p>
      <w:r>
        <w:t>Eine personenbezogene Meldung an einen Rückversicherer ist bei dieser Belastung nicht vorgesehen. Die vertragliche Einzelmeldeschwelle liegt bei 250.000,00 EUR. Ein Rückdeckungsbedarf darf weder aus der Behördenbezeichnung noch aus einem grundsätzlich bedeutsamen Bearbeitungsfehler hergeleitet werden. Es gibt zudem keinen Anlass, Gesundheitsdaten oder Unterlagen anderer Bauherren in diesen Vorgang einzubeziehen.</w:t>
      </w:r>
    </w:p>
    <w:p>
      <w:r>
        <w:t>Bitte legen Sie eine kurze Entscheidungsvorlage mit zwei konkret datierten Bearbeitungsverläufen und dem daraus folgenden Betrag vor. Die verwaltungsgerichtliche Kostenfrage bleibt getrennt. Vor einer vergleichsweisen Zahlung ist zu bestimmen, ob ausschließlich die vorliegende Hauptforderung erledigt werden soll. Eine pauschale Abgeltung aller Ansprüche aus sämtlichen Bauverfahren wäre dafür zu weit.</w:t>
      </w:r>
    </w:p>
    <w:p>
      <w:r>
        <w:t>Mit freundlichen Grüßen</w:t>
        <w:br/>
        <w:t>Vitus Hasenwinkel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Adebayo – Haftungsprüfung und fehlende Großschadenmeldung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