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Leonie von Tann</w:t>
        <w:br/>
        <w:t>Mohnanger 8, 97082 Lindenquell bei Würzburg</w:t>
      </w:r>
    </w:p>
    <w:p>
      <w:r>
        <w:t>Stadt Lindenquell – Rechtsstelle</w:t>
        <w:br/>
        <w:t>Rathausplatz 1, 97082 Lindenquell bei Würzburg</w:t>
      </w:r>
    </w:p>
    <w:p>
      <w:r>
        <w:t>05.10.2026 · Unser Zeichen VT 26/106</w:t>
      </w:r>
    </w:p>
    <w:p>
      <w:pPr>
        <w:pStyle w:val="Title"/>
      </w:pPr>
      <w:r>
        <w:t>Sesam gegen Stadt – Schaden bei Baumpflege am Kerbelring</w:t>
      </w:r>
    </w:p>
    <w:p>
      <w:r>
        <w:t>Sehr geehrte Frau Färber,</w:t>
      </w:r>
    </w:p>
    <w:p>
      <w:r>
        <w:t>mein Mandant Leander Sesam hält seine Forderung von 3.011,40 EUR aufrecht. Sie setzt sich aus 2.927,40 EUR bezahlter Reparatur und 84,00 EUR für zwei Mietwagentage zusammen. Bitte nehmen Sie bis zum bereits erbetenen 13. Oktober dazu Stellung. Eine Regulierung ist bislang weder durch Sie noch durch das ausführende Unternehmen erfolgt.</w:t>
      </w:r>
    </w:p>
    <w:p>
      <w:r>
        <w:t>Der Anspruch richtet sich nicht allein darauf, jeden Fehler eines von der Stadt beauftragten Unternehmens der Stadt zuzurechnen. Nach dem Auftrag verblieben Freimachung, Absperrung und abschnittsweise Freigabe bei Ihnen. Der Wagen stand sichtbar im betroffenen Bereich. Die unterschiedliche Erinnerung von Herrn Zwirn und Herrn König zur Freigabe verlangt daher eine konkrete Erklärung, wie die Grenze des erlaubten Arbeitsbereichs vor Beginn vermittelt und abgesichert wurde.</w:t>
      </w:r>
    </w:p>
    <w:p>
      <w:r>
        <w:t>Bitte übermitteln Sie Auftrag und Absperrvermerk sowie den tatsächlichen Aufstellnachweis des behaupteten Halteverbots. Mein Mandant sah beim Abstellen am 2. September gegen 21:30 Uhr keine mobilen Schilder. Er behauptet nicht, aus eigener Wahrnehmung die Situation am 31. August zu kennen. Eine Bestellung der Schilder beantwortet die Frage ihrer späteren Sichtbarkeit nicht.</w:t>
      </w:r>
    </w:p>
    <w:p>
      <w:r>
        <w:t>Der Kombi wurde am 10. und 11. September repariert. Die vorherige kostenlose Fahrgemeinschaft war an diesen beiden Tagen nicht verfügbar. Mein Mandant verlangt deshalb nur die beiden nachgewiesenen Miettage, keinen zusätzlichen Nutzungsausfall. Auf eine bestimmte Deckung Ihrer Stadt oder des Unternehmens stützt er seinen Anspruch nicht. Eine sachbezogene Klärung der Außenschuld bleibt unabhängig von internen Versicherungsfragen möglich.</w:t>
      </w:r>
    </w:p>
    <w:p>
      <w:r>
        <w:t>Mit freundlichen Grüßen</w:t>
        <w:br/>
        <w:t>Leonie von Tann</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Sesam gegen Stadt – Schaden bei Baumpflege am Kerbelring</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