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 Lindenquell – Rechtsstelle</w:t>
        <w:br/>
        <w:t>Rathausplatz 1, 97082 Lindenquell bei Würzburg</w:t>
      </w:r>
    </w:p>
    <w:p>
      <w:r>
        <w:t>Mainbogen Kommunalversicherung VVaG – Schadenabteilung</w:t>
        <w:br/>
        <w:t>Kornblumenstraße 18, 97084 Würzburg</w:t>
      </w:r>
    </w:p>
    <w:p>
      <w:r>
        <w:t>05.10.2026</w:t>
      </w:r>
    </w:p>
    <w:p>
      <w:pPr>
        <w:pStyle w:val="Title"/>
      </w:pPr>
      <w:r>
        <w:t>Kerbelring: Eigene Sicherungspflicht und Unternehmerleistung</w:t>
      </w:r>
    </w:p>
    <w:p>
      <w:r>
        <w:t>Sehr geehrter Herr Salbei,</w:t>
      </w:r>
    </w:p>
    <w:p>
      <w:r>
        <w:t>wir melden den Astkontakt vom 3. September am Kerbelring 18. Herr Leander Sesam verlangt 3.011,40 EUR für die bezahlte Reparatur und zwei Tage Ersatzwagen. Der Klägervertreterin wurde heute eine Zwischenantwort erteilt. Die erbetene Antwortfrist bis zum 13. Oktober bleibt offen. Eine Zahlung oder abschließende Anerkennung ist nicht erfolgt.</w:t>
      </w:r>
    </w:p>
    <w:p>
      <w:r>
        <w:t>Um 16:45 Uhr ging die aktuelle Vertragsausfertigung aus unserem Archiv ein. Sie bestätigt für das Kalenderjahr 2026 unter MK-AH-LQ-2026 die gesetzliche Haftpflicht unserer Stadt aus Straßenunterhalt und zugehöriger Verkehrssicherung. Der Vorgang war zuvor nur über Beitragsunterlagen zugeordnet; deshalb enthielt Frau Krens Nachricht vom 2. Oktober noch keine belastbare Deckungsaussage. Bitte prüfen Sie jetzt die gemeldete Tätigkeit anhand der vollständigen Angaben und bestätigen Sie Ihre Schadenbearbeitung.</w:t>
      </w:r>
    </w:p>
    <w:p>
      <w:r>
        <w:t>Unser Arbeitsauftrag teilte die Aufgaben auf: Die Stadt sollte Parkraum und Absperrung sichern und einzelne Arbeitsbereiche freigeben; Astwerk Amal Berg GmbH bestimmte Schnitt- und Seiltechnik. Herr Zwirn will nur den südlichen Bereich freigegeben haben. Der Vorarbeiter verstand den Zuruf weiter und begann trotz des sichtbaren Wagens mit der Entlastung. Wir möchten diese Spannung aufklären und nicht durch die pauschale Behauptung erledigen, sämtliche Verantwortung liege beim beauftragten Unternehmen.</w:t>
      </w:r>
    </w:p>
    <w:p>
      <w:r>
        <w:t>Der tatsächliche Aufstellnachweis für das mobile Halteverbot fehlt weiterhin. Die Bestellung für den 31. August ist kein Nachweis des vollzogenen Aufbaus. Auch aus der Sichtbarkeit der Schilder am Unfallmorgen folgt noch nicht, wann der Wagenhalter sie erkennen konnte. Bitte setzen Sie deshalb keine feste Mitverschuldensquote ohne die fehlenden Tatsachen an.</w:t>
      </w:r>
    </w:p>
    <w:p>
      <w:r>
        <w:t>Eine eigene Haftpflichtdeckung des Unternehmens ist noch nicht belegt. Dessen mögliche Haftung, eine funktionelle Helferstellung und eine denkbare interne Erstattung sind getrennt zu prüfen. Der Landkreis war weder Auftraggeber noch Bauleiter dieser örtlichen Straßenmaßnahme. Eine nur vorsorgliche Rückversichereranzeige bei der kleinen Einzelforderung ist aus unserer Sicht nicht veranlasst. Für die Außenkommunikation bleibt die Stadt zuständig.</w:t>
      </w:r>
    </w:p>
    <w:p>
      <w:r>
        <w:t>Mit freundlichen Grüßen</w:t>
        <w:br/>
        <w:t>Kunigunde Färber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Kerbelring: Eigene Sicherungspflicht und Unternehmerleistung</dc:title>
  <dc:subject/>
  <dc:creator>Stadt Lindenquell – Rechtsstelle
Rathausplatz 1, 97082 Lindenquell bei Würzburg</dc:creator>
  <cp:keywords/>
  <dc:description>generated by python-docx</dc:description>
  <cp:lastModifiedBy/>
  <cp:revision>1</cp:revision>
  <dcterms:created xsi:type="dcterms:W3CDTF">2026-10-01T09:00:00Z</dcterms:created>
  <dcterms:modified xsi:type="dcterms:W3CDTF">2026-10-01T09:00:00Z</dcterms:modified>
  <cp:category/>
</cp:coreProperties>
</file>