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Mainbogen Kommunalversicherung VVaG – Schadenabteilung</w:t>
        <w:br/>
        <w:t>Kornblumenstraße 18, 97084 Würzburg</w:t>
      </w:r>
    </w:p>
    <w:p>
      <w:r>
        <w:t>Stadt Lindenquell – Rechtsstelle</w:t>
        <w:br/>
        <w:t>Rathausplatz 1, 97082 Lindenquell bei Würzburg</w:t>
      </w:r>
    </w:p>
    <w:p>
      <w:r>
        <w:t>05.10.2026</w:t>
      </w:r>
    </w:p>
    <w:p>
      <w:pPr>
        <w:pStyle w:val="Title"/>
      </w:pPr>
      <w:r>
        <w:t>Sesam: Haftungsprüfung ohne voreilige Regresszuweisung</w:t>
      </w:r>
    </w:p>
    <w:p>
      <w:r>
        <w:t>Sehr geehrte Frau Färber,</w:t>
      </w:r>
    </w:p>
    <w:p>
      <w:r>
        <w:t>wir führen Ihre Meldung unter MK-AH-26-B47. Der von Ihnen vorgelegte Vertrag MK-AH-LQ-2026 erfasst die gesetzliche Haftpflicht der Stadt aus den genannten Straßenunterhaltungsaufgaben. Die im Fall vereinbarte Sachschadensumme beträgt 5.000.000 EUR je Ereignis; der Selbstbehalt beträgt 500 EUR. Eigene Ansprüche gegen beauftragte Unternehmen werden damit weder aufgehoben noch automatisch begründet. Eine eigenständige Versicherung der Astwerk Amal Berg GmbH wird durch den Vertrag der Stadt nicht nachgewiesen.</w:t>
      </w:r>
    </w:p>
    <w:p>
      <w:r>
        <w:t>Für die Außenhaftung ist zunächst Ihre eigene Absperr- und Koordinationsleistung zu beurteilen. Die Frage, ob das Unternehmen bei dieser Aufgabe als Verwaltungshelfer tätig wurde, verlangt daneben eine funktionelle Betrachtung des konkreten Auftrags. Die technische Eigenverantwortung des Unternehmens und Ihre Vorgaben müssen hierzu zusammen gelesen werden. Es wäre voreilig, entweder jede Unternehmerhaftung auszuschließen oder den Geschädigten allein auf die Firma zu verweisen.</w:t>
      </w:r>
    </w:p>
    <w:p>
      <w:r>
        <w:t>Bitte sichern Sie die getrennten Aussagen zu dem Zuruf um 08:10 Uhr. Das Tagesblatt „Beginn“ ersetzt keine eindeutige Bereichsfreigabe. Ebenso bleibt offen, ob die Schilder rechtzeitig aufgestellt wurden. Wir benötigen das noch fehlende Blatt oder, falls es nicht existiert, die konkrete Auskunft der damals eingesetzten Person. Eine nachträgliche Bestätigung des gewünschten Aufstelltags ohne eigene Wahrnehmung ist keine verlässliche Ergänzung.</w:t>
      </w:r>
    </w:p>
    <w:p>
      <w:r>
        <w:t>Bei dem bezifferten Betrag von 3.011,40 EUR geht es um einen begrenzten Sachschaden. Wir haben diesen Betrag als vorläufige Außenreserve und den vertraglichen Selbstbehalt separat erfasst. Beides ist noch keine Regulierung oder Kürzung der Forderung des Herrn Sesam. Eine Rückversichererakte wird auf diesem Stand nicht eröffnet. Eine Zugehörigkeit zu AKHA oder einer anderen Ausgleichseinrichtung ist nicht aus dem Ordnernamen Ihrer Altregistratur abzuleiten.</w:t>
      </w:r>
    </w:p>
    <w:p>
      <w:r>
        <w:t>Bitte veranlassen Sie vorerst keinen Forderungsverzicht gegenüber dem Unternehmen. Zugleich soll der Geschädigte nicht auf einen nur theoretischen Ersatzanspruch verwiesen werden. Falls ein Regress oder eine Beteiligung des Unternehmens später tragfähig wird, benötigen wir die tatsächlichen Befugnisse, die Vertragsgrundlagen und eine nachvollziehbare Kausalitätsbewertung. Die Antwortfrist 13. Oktober bleibt davon unberührt.</w:t>
      </w:r>
    </w:p>
    <w:p>
      <w:r>
        <w:t>Mit freundlichen Grüßen</w:t>
        <w:br/>
        <w:t>Severin Salbei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Sesam: Haftungsprüfung ohne voreilige Regresszuweisung</dc:title>
  <dc:subject/>
  <dc:creator>Mainbogen Kommunalversicherung VVaG – Schadenabteilung
Kornblumenstraße 18, 97084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