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Rechtsanwalt Nils Feder</w:t>
        <w:br/>
        <w:t>Mainblattweg 6, 97070 Würzburg</w:t>
      </w:r>
    </w:p>
    <w:p>
      <w:r>
        <w:t>An die Stadtbetriebe Steinbogen GmbH</w:t>
        <w:br/>
        <w:t>z. H. Geschäftsführerin Hedwig Sommer</w:t>
        <w:br/>
        <w:t>Betriebshof Laubenring 9, 97076 Würzburg</w:t>
        <w:br/>
        <w:t>Zugleich an Herrn Burkhard Blech, Werkzeugpfad 5, 97076 Würzburg</w:t>
      </w:r>
    </w:p>
    <w:p>
      <w:r>
        <w:t>04.10.2026</w:t>
      </w:r>
    </w:p>
    <w:p>
      <w:pPr>
        <w:pStyle w:val="Title"/>
      </w:pPr>
      <w:r>
        <w:t>Hallentor: Forderung der Gebäudeeigentümerin</w:t>
      </w:r>
    </w:p>
    <w:p>
      <w:r>
        <w:t>Sehr geehrte Frau Sommer, sehr geehrter Herr Blech,</w:t>
      </w:r>
    </w:p>
    <w:p>
      <w:r>
        <w:t>ich vertrete ausschließlich die Hofbogen Immobilien GmbH, vertreten durch Frau Kunigunde Knopf, Hallenbogen 12, 97076 Würzburg. Sie verlangt 145.000 EUR netto für die Beschädigung ihres Hallentors und angrenzender Bauteile durch die am 25. September abgestellte und anschließend weggerollte Kehrmaschine. Bitte regulieren Sie die berechtigte Forderung bis zum 19. Oktober 2026 oder benennen Sie bis zum 12. Oktober Ihre konkreten Einwendungen und einen Termin für die gemeinsame technische Aufnahme.</w:t>
      </w:r>
    </w:p>
    <w:p>
      <w:r>
        <w:t>Die Halterhaftung nach § 7 StVG und die Fahrerhaftung nach § 18 StVG sind neben den schuldabhängigen Ansprüchen zu prüfen. Der private Reinigungsauftrag und das ausgeschaltete Kehraggregat sprechen hier für den verwirklichten Fortbewegungsvorgang. Herr Blech hat das Fahrzeug bei laufendem Motor auf leichtem Gefälle verlassen und kann nicht bestätigen, dass die Feststellbremse vollständig eingerastet war. Einen technisch abschließend festgestellten Bremsdefekt behauptet meine Mandantin nicht.</w:t>
      </w:r>
    </w:p>
    <w:p>
      <w:r>
        <w:t>Der Gebäudebetrag beruht auf dem vorläufigen Angebot des Baukontors Balken. Die drei Positionen sind separat bezeichnet; die statische Prüfung und die Untersuchung verdeckter Schäden bleiben offen. Umsatzsteuer wird nicht verlangt. Bitte erhalten Sie Ihrerseits die Maschine einschließlich Bremse und Wartungsunterlagen. Die Gebäudeeigentümerin wird die beschädigten Teile bis zur abgestimmten Aufnahme erhalten, soweit die Verkehrssicherheit dies zulässt.</w:t>
      </w:r>
    </w:p>
    <w:p>
      <w:r>
        <w:t>Fremde Veranstaltungstechnik gehört nicht meiner Mandantin. Weder die Anmeldung der Prisma GmbH noch der von Nuri Nudelwerk genannte Umsatz wird in diesen Anspruch eingerechnet. § 12 StVG verlangt bei mehreren berechtigten Sachschadenansprüchen gegebenenfalls eine gesonderte Höchstbetragsprüfung. Daraus darf keine Kürzung allein anhand ungeprüfter Neupreislisten abgeleitet werden. Schuldhaft begründete Ansprüche außerhalb des StVG bleiben nach § 16 StVG gesondert zu prüfen.</w:t>
      </w:r>
    </w:p>
    <w:p>
      <w:r>
        <w:t>Dieses Schreiben ist eine außergerichtliche Forderung, keine Klageeinreichung. Einen Auftrag für die Versicherung oder die Gegenseite habe ich nicht.</w:t>
      </w:r>
    </w:p>
    <w:p>
      <w:r>
        <w:t>Mit freundlichen Grüßen</w:t>
        <w:br/>
        <w:t>Nils Feder</w:t>
        <w:br/>
        <w:t>Rechtsanwalt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Hallentor: Forderung der Gebäudeeigentümerin</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