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Stadtbetriebe Steinbogen GmbH</w:t>
        <w:br/>
        <w:t>Mira Morgenrot · Betriebshof Laubenring 9 · 97076 Würzburg</w:t>
      </w:r>
    </w:p>
    <w:p>
      <w:r>
        <w:t>Frankenbogen Kommunalversicherung VVaG</w:t>
        <w:br/>
        <w:t>Frau Gundula Pfennig · Versicherungsbogen 8 · 97080 Würzburg</w:t>
      </w:r>
    </w:p>
    <w:p>
      <w:r>
        <w:t>05.10.2026</w:t>
      </w:r>
    </w:p>
    <w:p>
      <w:pPr>
        <w:pStyle w:val="Title"/>
      </w:pPr>
      <w:r>
        <w:t>Fahrzeug 7 – unveränderte Beweismittel und getrennte Anspruchsteller</w:t>
      </w:r>
    </w:p>
    <w:p>
      <w:r>
        <w:t>Sehr geehrte Frau Pfennig,</w:t>
      </w:r>
    </w:p>
    <w:p>
      <w:r>
        <w:t>wir bestätigen für die Großschadenbesprechung, dass Fahrzeug 7 nach dem Unfall vom 25. September unverändert in der Werkstatt steht. Herr Blech hat nach dem Ereignis keine Einstellung an der Feststellbremse vorgenommen. Die technische Untersuchung ist noch nicht abgeschlossen. Seine Angabe, den Hebel vermutlich angezogen zu haben, darf deshalb weder in eine sichere Funktionsbestätigung noch in ein bereits bewiesenes Versagen der Bremse umformuliert werden.</w:t>
      </w:r>
    </w:p>
    <w:p>
      <w:r>
        <w:t>Eigentümerin und Halterin der 40 km/h schnellen Maschine ist unsere Gesellschaft. Der Gewerbehof war während der Geschäftszeiten für Lieferverkehr zugänglich. Nach dem derzeitigen Stand war der Unfall keine hoheitliche Einsatzfahrt des Landkreises. Wir sehen daher keinen Anlass, einen Landkreis als haftenden Rechtsträger einzusetzen. Die Gemeinde ist über ihre Beteiligung an unserer GmbH informiert; eine eigene Schuldübernahme hat sie nicht erklärt.</w:t>
      </w:r>
    </w:p>
    <w:p>
      <w:r>
        <w:t>Die Gebäudeunterlagen der Hofbogen Immobilien GmbH, die Geräteliste der Prisma Bühnenbildtechnik GmbH und die Nachricht der Nuri Nudelwerk GmbH bleiben getrennte Eingänge. Die 1.650.000 EUR für Prisma beruhen auf Neupreisansätzen für gebrauchte Geräte. Die Spanne von 1.200.000 bis 2.100.000 EUR betrifft dieselben Geräte und wird nicht zusätzlich addiert. Niemand hat die Geräte entsorgt. Ein bloßer Produktionsumsatz des Nachbarbetriebs wird ebenfalls nicht als feststehender Eigentumsschaden bestätigt.</w:t>
      </w:r>
    </w:p>
    <w:p>
      <w:r>
        <w:t>Bitte klären Sie anhand des heute nachgereichten Vertragssatzes Deckung und Rückversicherungsweg. Ihre Beauftragung von Frau Klee ist allein Ihr Mandat; wir nehmen hiermit keinen zusätzlichen Anwaltsauftrag vor. Für die fachliche Abstimmung stehen unsere Fuhrparkleiterin und der Werkstattleiter zur Verfügung. Bitte geben Sie uns vorab konkrete Fragen, damit das Gespräch die offenen Tatsachen aufklärt und nicht nur die bisherige Anmeldesumme wiederholt. Eine Zahlung, Haftungsanerkennung oder Gesamtfreigabe ist bisher nicht erfolgt.</w:t>
      </w:r>
    </w:p>
    <w:p>
      <w:r>
        <w:t>Mit freundlichen Grüßen</w:t>
        <w:br/>
        <w:t>Mira Morgenrot</w:t>
        <w:br/>
        <w:t>Stadtbetriebe Steinbogen GmbH</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Fahrzeug 7 – unveränderte Beweismittel und getrennte Anspruchsteller</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