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w:t>
        <w:br/>
        <w:t>Gundula Pfennig · Versicherungsbogen 8 · 97080 Würzburg</w:t>
      </w:r>
    </w:p>
    <w:p>
      <w:r>
        <w:t>Stadtbetriebe Steinbogen GmbH</w:t>
        <w:br/>
        <w:t>Frau Mira Morgenrot · Betriebshof Laubenring 9 · 97076 Würzburg</w:t>
      </w:r>
    </w:p>
    <w:p>
      <w:r>
        <w:t>05.10.2026</w:t>
      </w:r>
    </w:p>
    <w:p>
      <w:pPr>
        <w:pStyle w:val="Title"/>
      </w:pPr>
      <w:r>
        <w:t>Kehrmaschine – ergänzter Vertragsstand und getrennte Schadenbewertung</w:t>
      </w:r>
    </w:p>
    <w:p>
      <w:r>
        <w:t>Sehr geehrte Frau Morgenrot,</w:t>
      </w:r>
    </w:p>
    <w:p>
      <w:r>
        <w:t>der vollständige Archivsatz ist heute um 14:45 Uhr eingegangen. Für diese synthetische Akte bestätigen wir den Kfz-Haftpflichtvertrag KFZ-SB-2026 für Fahrzeug 7 mit Laufzeit vom 1. Januar bis 31. Dezember 2026 und einer für dieses Ereignis verfügbaren Sachschadendeckung von 5.000.000 EUR. Ein Selbstbehalt Ihrer Gesellschaft ist in diesem Vertrag nicht vereinbart. Die zeitweise ausgeschaltete Kehrfunktion beendet die Kfz-Deckung nicht. Den genauen Unfallablauf und die behaupteten Schäden prüfen wir weiterhin.</w:t>
      </w:r>
    </w:p>
    <w:p>
      <w:r>
        <w:t>Unsere direkte Modellrückversicherung bei Auenfels setzt eine Priorität von 1.000.000 EUR auf den von uns tatsächlich getragenen entschädigungsfähigen Schaden aus einem Ereignis und ein anschließendes Limit von 4.000.000 EUR voraus. Bearbeitungs- und Abwehrkosten bleiben außerhalb dieser Bezugsgröße. Die Meldeschwelle beträgt 750.000 EUR erwartete Nettobelastung. Das ist keine allgemeine AKHA-Regel, sondern der für diesen Übungsfall neu belegte Vertragsstand; die frühere Nachricht über fehlende Unterlagen bleibt als damaliger Kenntnisstand erhalten.</w:t>
      </w:r>
    </w:p>
    <w:p>
      <w:r>
        <w:t>Für die Arbeitsbesprechung verwenden wir ein ausdrücklich bedingtes Beispiel: Würden 145.000 EUR Gebäudeschaden und 1.200.000 EUR ersatzfähiger Geräteschaden anerkannt und ausgezahlt, ergäbe sich eine Bezugsgröße von 1.345.000 EUR und ein möglicher Schichtbetrag von 345.000 EUR. Die 1.200.000 EUR sind nur die Untergrenze der ungeprüften Gerätespanne, kein Gutachten. Der Nachbarumsatz von 45.000 EUR wird nicht ohne eigene Anspruchsprüfung hinzugefügt. Das Rechenbeispiel ersetzt weder die dokumentierte Anmeldung von 1.840.000 EUR noch eine tatsächliche Zahlung.</w:t>
      </w:r>
    </w:p>
    <w:p>
      <w:r>
        <w:t>Wir melden wegen des möglichen Umfangs vorsorglich an Auenfels. Die Anspruchsteller erhalten dadurch keinen neuen Ansprechpartner für ihre Forderungen. Bitte sichern Sie Geräte, Bremsbefund und Gebäudedokumentation. Über Vergleichszahlungen entscheiden wir erst nach getrennter Prüfung der Anspruchsberechtigung, Reparaturmöglichkeiten, Restwerte und Doppelpositionen. Bisher ist aus dieser Schadenbearbeitung keine Zahlung ausgeführt worden.</w:t>
      </w:r>
    </w:p>
    <w:p>
      <w:r>
        <w:t>Mit freundlichen Grüßen</w:t>
        <w:br/>
        <w:t>Gundula Pfennig</w:t>
        <w:br/>
        <w:t>Kfz-Großschaden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Kehrmaschine – ergänzter Vertragsstand und getrennte Schadenbewertung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