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Rechtsstelle</w:t>
        <w:br/>
        <w:t>Rathausplatz 1, 97082 Lindenquell bei Würzburg</w:t>
      </w:r>
    </w:p>
    <w:p>
      <w:r>
        <w:t>Rechtsanwältin Leonie von Tann</w:t>
        <w:br/>
        <w:t>Mohnanger 8, 97082 Lindenquell bei Würzburg</w:t>
      </w:r>
    </w:p>
    <w:p>
      <w:r>
        <w:t>05.10.2026 · Zeichen LQ-R 26/391</w:t>
      </w:r>
    </w:p>
    <w:p>
      <w:pPr>
        <w:pStyle w:val="Title"/>
      </w:pPr>
      <w:r>
        <w:t>Stadt Lindenquell – Zwischenantwort an die Klägervertreterin</w:t>
      </w:r>
    </w:p>
    <w:p>
      <w:r>
        <w:t>Sehr geehrte Frau von Tann,</w:t>
      </w:r>
    </w:p>
    <w:p>
      <w:r>
        <w:t>wir bestätigen den Eingang Ihres heutigen Schreibens. Die Reduzierung der Forderung auf 2.188,80 EUR ist vermerkt. Den Kontakt zwischen unserem Transporter und dem geparkten Wagen stellen wir auf Grundlage des Fahrerberichts derzeit nicht in Abrede. Ein abschließendes Anerkenntnis, insbesondere zum Umfang des erforderlichen Reparaturaufwands, geben wir damit nicht ab.</w:t>
      </w:r>
    </w:p>
    <w:p>
      <w:r>
        <w:t>Wir übermitteln Ihnen Fahrerbericht und Fuhrparkauskunft. Daraus ergibt sich der unmittelbare Sicherungsauftrag für die Fahrbahnabsenkung. Die Rechtsprüfung betrifft sowohl die tatsächliche Halterstellung als auch die Bedeutung dieses Einsatzes. Die bloße Fahrtenbuchüberschrift ist nicht unsere alleinige Entscheidungsgrundlage. Eine persönliche Zahlungszusage des Fahrers ist nicht dokumentiert.</w:t>
      </w:r>
    </w:p>
    <w:p>
      <w:r>
        <w:t>Bitte lassen Sie die zwei bei der Werkstatt gespeicherten Bilder der beschädigten Tür sichern und nach Möglichkeit übersenden. Die Trennung vom alten Stoßstangenkratzer ist nachvollziehbar beschrieben, muss aber mit der Werkstattaufnahme abgeglichen werden. Zu den Taxifahrten bitten wir um Bestätigung, dass der zweite Familienwagen zu den konkreten Abgabe- und Abholzeiten nicht verfügbar war. Ihre heutige Erläuterung wird in die Prüfung einbezogen; die bloße Existenz eines zweiten Wagens ist für uns noch kein Ablehnungsgrund.</w:t>
      </w:r>
    </w:p>
    <w:p>
      <w:r>
        <w:t>Wir wollen Ihnen bis zum 12. Oktober eine weitere Nachricht geben. Eine verbindliche Regulierung oder Deckung durch einen bestimmten Versicherer können wir heute nicht erklären. Bitte verstehen Sie diese sachbezogenen Rückfragen nicht als abschließende Zurückweisung des Anspruchs.</w:t>
      </w:r>
    </w:p>
    <w:p>
      <w:r>
        <w:t>Mit freundlichen Grüßen</w:t>
        <w:br/>
        <w:t>Kunigunde Färber</w:t>
        <w:br/>
        <w:t>Rechtsstelle der Stadt Lindenquell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Stadt Lindenquell – Zwischenantwort an die Klägervertreterin</dc:title>
  <dc:subject/>
  <dc:creator>Stadt Lindenquell, vertreten durch den Ersten Bürgermeister Anselm Buchner, Rathausplatz 1,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