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Lindenquell – Rechtsstelle</w:t>
        <w:br/>
        <w:t>Rathausplatz 1, 97082 Lindenquell bei Würzburg</w:t>
      </w:r>
    </w:p>
    <w:p>
      <w:r>
        <w:t>Mainbogen Kommunalversicherung VVaG – Schadenabteilung</w:t>
        <w:br/>
        <w:t>Kornblumenstraße 18, 97084 Würzburg</w:t>
      </w:r>
    </w:p>
    <w:p>
      <w:r>
        <w:t>05.10.2026</w:t>
      </w:r>
    </w:p>
    <w:p>
      <w:pPr>
        <w:pStyle w:val="Title"/>
      </w:pPr>
      <w:r>
        <w:t>Fuhrpark 17: Erstmeldung nach Eingang der Vertragsausfertigung</w:t>
      </w:r>
    </w:p>
    <w:p>
      <w:r>
        <w:t>Sehr geehrter Herr Salbei,</w:t>
      </w:r>
    </w:p>
    <w:p>
      <w:r>
        <w:t>wir melden den Streifkontakt unseres Transporters mit dem Fahrzeug des Herrn Tassilo Dinkel am 8. September. Die heute um 16:35 Uhr aus dem Vertragsarchiv eingegangene Ausfertigung ordnet Fuhrparknummer 17 dem Kfz-Haftpflichtvertrag MK-KFZ-2026 zu. Sie gilt vom 1. Januar bis 31. Dezember 2026 und nennt unsere Stadt als Versicherungsnehmerin. Diese Ergänzung erklärt, warum Frau Kren in ihrer Nachricht vom 30. September noch keinen vollständigen Vertragsstand nennen konnte. Eine rückdatierte Schadenmeldung wird daraus nicht gemacht.</w:t>
      </w:r>
    </w:p>
    <w:p>
      <w:r>
        <w:t>Herr Dinkel verfolgt nach seiner heutigen Erklärung 2.188,80 EUR. Darin stecken 2.142,00 EUR bezahlte Reparaturkosten und 46,80 EUR für zwei Werkstattfahrten. Die ursprünglich verlangten 25,00 EUR Abwicklungspauschale sind ausdrücklich ausgeklammert. Unser Fahrer beschreibt den Kontakt beim Vorwärtsfahren; die Zeugin sah den Wagen innerhalb der Parkbucht. Streitfragen bestehen vor allem zur Belegvervollständigung und nicht zu einem behaupteten Verkehrsmanöver des Geschädigten.</w:t>
      </w:r>
    </w:p>
    <w:p>
      <w:r>
        <w:t>Der Auftrag unserer Disposition betraf die unmittelbare Sicherung einer Fahrbahnabsenkung. Wir bitten deshalb neben der Halterhaftung um Beachtung der hoheitlichen Einordnung. Eine persönliche Inanspruchnahme des Fahrers wird gegenüber der Klägervertreterin nicht als alternative Regulierung angeboten. Der Landkreis hatte weder Fahrzeugherrschaft noch Einsatzauftrag. Wir leiten die Sache nicht allein wegen unserer Kreisangehörigkeit an ihn weiter.</w:t>
      </w:r>
    </w:p>
    <w:p>
      <w:r>
        <w:t>Bitte bestätigen Sie Vertrag, Bearbeitungszeichen und erforderliche Nachforderungen. Wir stellen mit gesonderter E-Mail die vorhandenen Belege bereit. Die Werkstattbilder fehlen weiterhin; ihre Existenz wird nicht mit ihrem Eingang verwechselt. Die Klägervertreterin hat den Antworttermin 12. Oktober beibehalten. Wir haben heute noch keine Zahlung oder verbindliche Deckung gegenüber ihr erklärt. Ein möglicher interner Selbstbehalt darf in einer späteren Außenabrechnung nicht einfach von den belegten Kosten abgezogen werden. Zu einer Ausgleichseinrichtung oder Rückversicherung liegen der Stadt keine eigenen Anspruchsunterlagen vor.</w:t>
      </w:r>
    </w:p>
    <w:p>
      <w:r>
        <w:t>Mit freundlichen Grüßen</w:t>
        <w:br/>
        <w:t>Kunigunde Färber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Fuhrpark 17: Erstmeldung nach Eingang der Vertragsausfertigung</dc:title>
  <dc:subject/>
  <dc:creator>Stadt Lindenquell – Rechtsstelle
Rathausplatz 1, 97082 Lindenquell bei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