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Mainbogen Kommunalversicherung VVaG – Schadenabteilung</w:t>
        <w:br/>
        <w:t>Kornblumenstraße 18, 97084 Würzburg</w:t>
      </w:r>
    </w:p>
    <w:p>
      <w:r>
        <w:t>Stadt Lindenquell – Rechtsstelle</w:t>
        <w:br/>
        <w:t>Rathausplatz 1, 97082 Lindenquell bei Würzburg</w:t>
      </w:r>
    </w:p>
    <w:p>
      <w:r>
        <w:t>05.10.2026</w:t>
      </w:r>
    </w:p>
    <w:p>
      <w:pPr>
        <w:pStyle w:val="Title"/>
      </w:pPr>
      <w:r>
        <w:t>Dinkel: Vertragsbestätigung und begrenzter Prüfauftrag</w:t>
      </w:r>
    </w:p>
    <w:p>
      <w:r>
        <w:t>Sehr geehrte Frau Färber,</w:t>
      </w:r>
    </w:p>
    <w:p>
      <w:r>
        <w:t>wir bestätigen um 18:10 Uhr den Eingang Ihrer heutigen Meldung unter MK-KFZ-26391. Nach unserer Vertragsverwaltung war Fuhrparknummer 17 am 8. September im Vertrag MK-KFZ-2026 erfasst. Der Versicherungsschutz erstreckt sich auf gesetzliche Haftpflichtansprüche aus dem Gebrauch des bezeichneten Fahrzeugs einschließlich der beschriebenen dienstlichen Sicherungsfahrt. Als Leistung sind Prüfung und Abwehr unbegründeter sowie Befriedigung begründeter Ansprüche vereinbart. Ein Selbstbehalt für diesen Haftpflichtschaden ist nicht vereinbart. Die Vertragsbestätigung ist noch keine Anerkennung jeder einzelnen Forderungsposition.</w:t>
      </w:r>
    </w:p>
    <w:p>
      <w:r>
        <w:t>Bitte halten Sie die reduzierte Anspruchssumme von 2.188,80 EUR fest. Die Rechnung betrifft nach den Unterlagen allein die linke hintere Tür. Der rechte vordere Stoßstangenkratzer darf weder als unfallbedingter Schaden vergütet noch als Grund für eine pauschale Ablehnung der gesamten Reparatur verwendet werden. Die zwei Taxifahrten sind anhand der konkreten Werkstattzeiten und der Nichtverfügbarkeit des zweiten Familienwagens zu beurteilen. Eine zusätzliche Nutzungsausfallentschädigung wird nicht gefordert.</w:t>
      </w:r>
    </w:p>
    <w:p>
      <w:r>
        <w:t>Wir bitten um Nachreichung der angekündigten Annahmebilder, sobald diese tatsächlich verfügbar sind. Bis dahin erlauben Fahrerbericht und Zeugin eine Sachprüfung, aber keine fotografische Beweissicherung. Der Sicherungsauftrag wird bei der Prüfung von Art. 34 GG und § 18 StVG berücksichtigt. Der eigenständige Anspruch gegen die Halterin wird hierdurch nicht übergangen. Ob daneben ein Direktanspruch aus einem Versicherungsverhältnis eröffnet ist, ändert nichts daran, dass der vorliegende Klageentwurf allein gegen Ihre Stadt gerichtet ist.</w:t>
      </w:r>
    </w:p>
    <w:p>
      <w:r>
        <w:t>Eine einzelne Rückversichereranzeige ist für diese isolierte Forderung in unserer Bearbeitung nicht veranlasst. Mit diesem Schreiben wird keine Zugehörigkeit Ihrer Stadt zu AKHA oder einer anderen Ausgleichseinrichtung bestätigt. Sollte später ein davon abweichender Vertrag vorgelegt werden, wäre er gesondert zu prüfen. Bitte richten Sie Ihre Sachantwort bis zum 12. Oktober an die Klägervertreterin; eine Zahlung ist bislang weder von uns noch von Ihrer Stadt gebucht.</w:t>
      </w:r>
    </w:p>
    <w:p>
      <w:r>
        <w:t>Mit freundlichen Grüßen</w:t>
        <w:br/>
        <w:t>Severin Salbei</w:t>
        <w:br/>
        <w:t>Schadenabteilung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Dinkel: Vertragsbestätigung und begrenzter Prüfauftrag</dc:title>
  <dc:subject/>
  <dc:creator>Mainbogen Kommunalversicherung VVaG – Schadenabteilung
Kornblumenstraße 18, 97084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