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Rechnungsabschriften und Zahlungsabgleich</w:t>
      </w:r>
    </w:p>
    <w:p>
      <w:pPr>
        <w:pStyle w:val="Heading1"/>
      </w:pPr>
      <w:r>
        <w:t>1 Kundendienstrechnung MM-260929</w:t>
      </w:r>
    </w:p>
    <w:p>
      <w:r>
        <w:t>Maschinenservice Marisol Mohn, Spindelgasse 21, 97082 Lindenquell, berechnet Wendelin Knopf für die am 29.09.2026 abgeschlossene Reparatur des Antriebs 10.400,00 EUR, zweier Steuermodule zusammen 6.900,00 EUR und Aus- und Einbau mit Funktionsprüfung 5.500,00 EUR. Nettosumme: 22.800,00 EUR; Umsatzsteuer 4.332,00 EUR; brutto 27.132,00 EUR. Zahlung am 30.09.2026 vollständig gutgeschrieben. Neue Zusatzfunktionen wurden nicht eingebaut. Die alte Maschine bleibt im Einsatz.</w:t>
      </w:r>
    </w:p>
    <w:p>
      <w:pPr>
        <w:pStyle w:val="Heading1"/>
      </w:pPr>
      <w:r>
        <w:t>2 Trocknungsrechnung TS-260922</w:t>
      </w:r>
    </w:p>
    <w:p>
      <w:r>
        <w:t>Trocknung Selma Sauer, Holunderbogen 9, 97082 Lindenquell, berechnet für Absaugung und Reinigung am 14./15.09. 1.680,00 EUR, acht Trocknungstage einschließlich Geräte und Kontrolle 3.840,00 EUR sowie Abbau und Schlussmessung 960,00 EUR. Netto 6.480,00 EUR; Umsatzsteuer 1.231,20 EUR; brutto 7.711,20 EUR. Gezahlt am 24.09.2026. Enthalten sind keine Putz-, Estrich- oder sonstigen Gebäudearbeiten.</w:t>
      </w:r>
    </w:p>
    <w:p>
      <w:pPr>
        <w:pStyle w:val="Heading1"/>
      </w:pPr>
      <w:r>
        <w:t>3 Entsorgungsrechnung EE-260919</w:t>
      </w:r>
    </w:p>
    <w:p>
      <w:r>
        <w:t>Entsorgung Erdmute Eichel, Weidenhügel 7, 97082 Lindenquell, berechnet für Abholung, Verwiegung und stoffgerechte Entsorgung der durchnässten Bogen und wertlosen Lagerhilfen 1.200,00 EUR netto, 228,00 EUR Umsatzsteuer und 1.428,00 EUR brutto. Der Auftrag wurde am 18.09. ausgeführt; Zahlung am 23.09. Ein Verwertungserlös wurde nicht erzielt. Zwei Musterlose wurden auf Wunsch des Eigentümers nicht entsorgt.</w:t>
      </w:r>
    </w:p>
    <w:p>
      <w:pPr>
        <w:pStyle w:val="Heading1"/>
      </w:pPr>
      <w:r>
        <w:t>4 Warenwert</w:t>
      </w:r>
    </w:p>
    <w:p>
      <w:r>
        <w:t>Der Wareneingang PB-260731 von Papierkontor Balthasar Bohne weist für die zwölf betroffenen Lose 48.000 Bogen zu 0,18 EUR aus. Netto 8.640,00 EUR, Umsatzsteuer 1.641,60 EUR, brutto 10.281,60 EUR. Die Lieferung wurde am 04.08. vollständig bezahlt; am 14.09. lag kein Eigentumsvorbehalt mehr vor. Die Inventurliste in der Befundakte scheidet die trockenen Lose ausdrücklich aus. Ein zweiter Ersatz derselben Bogen aus einer Nachbestellung wird nicht verlangt.</w:t>
      </w:r>
    </w:p>
    <w:p>
      <w:pPr>
        <w:pStyle w:val="Heading1"/>
      </w:pPr>
      <w:r>
        <w:t>5 Ersatzmaschine</w:t>
      </w:r>
    </w:p>
    <w:p>
      <w:r>
        <w:t>Die Rechnung LF-260930 von Leihtechnik Fridolin Fink, Mispelring 19, 97082 Lindenquell, betrifft 14 Kalendertage vom 16.09. bis einschließlich 29.09. zu je 550,00 EUR = 7.700,00 EUR sowie Anlieferung, Einrichtung und Rückholung zusammen 1.000,00 EUR. Netto 8.700,00 EUR; Umsatzsteuer 1.653,00 EUR; brutto 10.353,00 EUR. Bezahlt am 02.10. Die Maschine war hinsichtlich Format und Leistung mit der reparierten Maschine vergleichbar.</w:t>
      </w:r>
    </w:p>
    <w:p>
      <w:r>
        <w:t>Nuria Klee verglich am 16.09. die verbindlichen Falzaufträge: Fremdvergabe hätte 12.400,00 EUR netto Bearbeitungs- und Transportkosten verursacht und 1.700,00 EUR eigene variable Kosten erspart. Der Mehraufwand von 10.700,00 EUR übersteigt die Miete von 8.700,00 EUR. Die Belegschaft erledigte die Aufträge mit der Mietmaschine; kein zusätzlicher Verdienstausfall.</w:t>
      </w:r>
    </w:p>
    <w:p>
      <w:pPr>
        <w:pStyle w:val="Heading1"/>
      </w:pPr>
      <w:r>
        <w:t>6 Abgleich</w:t>
      </w:r>
    </w:p>
    <w:p>
      <w:r>
        <w:t>Kontoabgleich Nuria Klee, 02.10.2026: Gesamtaufwand brutto 56.905,80 EUR, abzugsfähige Vorsteuer 9.085,80 EUR, geltend gemachter Nettoschaden 47.820,00 EUR. Keine Versicherungs- oder Vermieterzahlung, Abtretung oder Forderungsveräußerung. Die Abschriften erfassen Leistung, Betrag und Zahlung der Belege vollständig.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Rechnungsabschriften und Zahlungsabgleich</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