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Leonie von Tann</w:t>
        <w:br/>
        <w:t>Mohnanger 8, 97082 Lindenquell bei Würzburg</w:t>
      </w:r>
    </w:p>
    <w:p>
      <w:r>
        <w:t>Stadt Lindenquell – Rechtsstelle</w:t>
        <w:br/>
        <w:t>Rathausplatz 1, 97082 Lindenquell bei Würzburg</w:t>
      </w:r>
    </w:p>
    <w:p>
      <w:r>
        <w:t>02.10.2026</w:t>
      </w:r>
    </w:p>
    <w:p>
      <w:pPr>
        <w:pStyle w:val="Title"/>
      </w:pPr>
      <w:r>
        <w:t>Knopf: Bezifferter Anspruch aus dem Rückbau</w:t>
      </w:r>
    </w:p>
    <w:p>
      <w:r>
        <w:t>Sehr geehrte Frau Färber,</w:t>
      </w:r>
    </w:p>
    <w:p>
      <w:r>
        <w:t>ich vertrete Herrn Wendelin Knopf, Inhaber der Buchbinderei im Kelterbogen 14. Wir machen wegen des Wassereintritts vom 14. September 47.820,00 EUR geltend. Die beigefügten Belegabschriften weisen 22.800,00 EUR Maschinenreparatur, 6.480,00 EUR Trocknung, 1.200,00 EUR Entsorgung, 8.640,00 EUR verlorenen Bogenbestand und 8.700,00 EUR Ersatzmaschinenmiete aus. Alle Beträge sind wegen der Vorsteuerabzugsberechtigung netto. Ein Gebäudeschaden des Vermieters, ein pauschaler Gewinnverlust und die zugleich vermiedene Fremdvergabe sind nicht in dieser Summe enthalten.</w:t>
      </w:r>
    </w:p>
    <w:p>
      <w:r>
        <w:t>Nach dem Einsatzbericht war die Brandbekämpfung bereits beendet, als die Leitung zur Spülung erneut mit Wasser beaufschlagt wurde. Ihr offenes Ende lag ungesichert im Lichtschacht. Mein Mandant verlangt deshalb keinen Ausgleich dafür, dass die Feuerwehr den Nachbarbrand überhaupt bekämpfte. Er beanstandet eine gesonderte, vermeidbare Beschädigung beim Rückbau. Die Wasserfreigabe hätte nach Sichtkontrolle oder bestätigter Übergabe unterbleiben beziehungsweise am gesicherten Hofablauf erfolgen können.</w:t>
      </w:r>
    </w:p>
    <w:p>
      <w:r>
        <w:t>Die Auskunft des Landkreises grenzt dessen Rolle ab. Eine Übernahme der Einsatzleitung ist nicht erfolgt. Wir richten den Anspruch aus § 839 BGB in Verbindung mit Art. 34 GG daher gegen Ihre Stadt. Der Hinweis auf Nothilfe lässt einfache Fahrlässigkeit nicht generell entfallen; hierzu verweisen wir auf BGH, Urteil vom 14.06.2018 – III ZR 54/17, BGHZ 219, 77, Rn. 47, 53. Der dortige Löschschaumfall wird ausschließlich wegen des Haftungsmaßstabs angeführt.</w:t>
      </w:r>
    </w:p>
    <w:p>
      <w:r>
        <w:t>Bitte teilen Sie uns bis zum 12. Oktober mit, welche konkrete Position oder Tatsachenangabe aus Ihrer Sicht weiterer Klärung bedarf und ob Sie eine Regulierung veranlassen. Ausgetauschte Module und Papiermuster werden zur Besichtigung aufbewahrt. Mein Mandant ist zu einer abgestimmten Besichtigung bereit. Eine Zahlung eines Dritten oder eine Abtretung liegt nicht vor. Eine gerichtliche Einreichung ist bisher nicht erfolgt; der angefragte Antworttermin ist am heutigen Tag noch offen.</w:t>
      </w:r>
    </w:p>
    <w:p>
      <w:r>
        <w:t>Mit freundlichen Grüßen</w:t>
        <w:b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Knopf: Bezifferter Anspruch aus dem Rückbau</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