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Rechtsanwältin Leonie von Tann</w:t>
        <w:br/>
        <w:t>Mohnanger 8, 97082 Lindenquell bei Würzburg</w:t>
      </w:r>
    </w:p>
    <w:p>
      <w:r>
        <w:t>05.10.2026</w:t>
      </w:r>
    </w:p>
    <w:p>
      <w:pPr>
        <w:pStyle w:val="Title"/>
      </w:pPr>
      <w:r>
        <w:t>Knopf: Zwischenantwort und weitere Aufklärung</w:t>
      </w:r>
    </w:p>
    <w:p>
      <w:r>
        <w:t>Sehr geehrte Frau von Tann,</w:t>
      </w:r>
    </w:p>
    <w:p>
      <w:r>
        <w:t>Ihr Schreiben vom 2. Oktober mit der Bezifferung auf 47.820,00 EUR liegt uns vor. Wir haben die Unterlagen zur Haftungs- und Deckungsprüfung weitergeleitet. Die Stadt trifft mit diesem Zwischenbescheid keine abschließende Entscheidung über Grund oder Höhe. Insbesondere ist die Beteiligung unseres Versicherers weder ein Schuldanerkenntnis gegenüber Ihrem Mandanten noch eine Übertragung unserer Stellung als möglicher Anspruchsgegner.</w:t>
      </w:r>
    </w:p>
    <w:p>
      <w:r>
        <w:t>Der Kommandant bestätigt die Beendigung der eigentlichen Brandbekämpfung vor Beginn des Rückbaus. Offen bleibt, von wem der Zuruf zur Spülung stammte und welche Verständigung zwischen Schlauchtrupp und Maschinist vorausging. Wir lassen hierzu getrennte Ergänzungen erstellen. Die bloße Behauptung eines Notfalleinsatzes wird unsere Stellungnahme nicht ersetzen. Zugleich bitten wir um Verständnis, dass ein nachträglich erkennbarer Wassereintritt allein noch keine vollständige Rekonstruktion des Verschuldens erlaubt.</w:t>
      </w:r>
    </w:p>
    <w:p>
      <w:r>
        <w:t>Zur Maschine benötigen wir die Abgrenzung zwischen Reparatur und Verbesserung sowie die Bestätigung, welche ausgebauten Teile weiterhin besichtigt werden können. Bitte erläutern Sie außerdem die Zahl der tatsächlich durchnässten Papierlose und die zeitliche Überschneidung der Ersatzmiete mit der Reparatur. Der Ansatz von Nettobeträgen ist bei dem beschriebenen Vorsteuerabzug grundsätzlich nachvollziehbar. Die vorgelegten Zahlungsangaben werden wir mit den Einzelrechnungen und dem Inventar abgleichen; ein pauschaler Prozentabschlag ist derzeit nicht vorgesehen.</w:t>
      </w:r>
    </w:p>
    <w:p>
      <w:r>
        <w:t>Die Anfrage an den Landkreis diente der Klärung von Einsatzleitung und Ausstattung. Aus der dortigen Auskunft ergibt sich keine eigene Beteiligung an der Wasserfreigabe. Wir möchten den Vorgang deshalb nicht durch eine unbegründete Verweisung Ihres Mandanten zwischen Behörden verzögern. Ein denkbarer interner Erstattungsweg wäre gesondert zu prüfen und könnte eine begründete Außenhaftung nicht von sich aus beseitigen.</w:t>
      </w:r>
    </w:p>
    <w:p>
      <w:r>
        <w:t>Wir halten Ihren Antworttermin 12. Oktober im Blick und bitten um den angekündigten technischen Nachtrag. Eine endgültige Ablehnung oder ein Vergleichsangebot ist mit diesem Schreiben nicht verbunden. Bei neuen Belegen zur Schadenminderung würden wir eine Besichtigung kurzfristig abstimmen.</w:t>
      </w:r>
    </w:p>
    <w:p>
      <w:r>
        <w:t>Mit freundlichen Grüßen</w:t>
        <w:br/>
        <w:t>Kunigunde Färber</w:t>
        <w:br/>
        <w:t>Rechtsstelle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Knopf: Zwischenantwort und weitere Aufklärung</dc:title>
  <dc:subject/>
  <dc:creator>Stadt Lindenquell – Rechtsstelle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