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Deckungsunterlagen: Vereinbarter Prüffall LQ-AH-2026</w:t>
      </w:r>
    </w:p>
    <w:p>
      <w:pPr>
        <w:pStyle w:val="Heading1"/>
      </w:pPr>
      <w:r>
        <w:t>1 Vertragsinhalt der Fallakte</w:t>
      </w:r>
    </w:p>
    <w:p>
      <w:r>
        <w:t>Versicherungsnehmerin ist die Stadt Lindenquell; Versicherer ist Mainbogen Kommunalversicherung VVaG. Im Vertrag LQ-AH-2026 für den Zeitraum 01.01. bis 31.12.2026 ist die gesetzliche Haftpflicht aus der gemeindlichen Feuerwehr einschließlich Rückbau und Wiederherstellung der Einsatzbereitschaft erfasst. Die Prüfung der Haftung sowie die Abwehr unbegründeter und Befriedigung begründeter Ansprüche gehören zum vereinbarten Leistungsumfang. Die Sachschadendeckung beträgt 5.000.000 EUR je Ereignis. Für Sachschäden ist ein Selbstbehalt von 1.000 EUR vereinbart. Er verändert den Außenanspruch eines Geschädigten nicht.</w:t>
      </w:r>
    </w:p>
    <w:p>
      <w:pPr>
        <w:pStyle w:val="Heading1"/>
      </w:pPr>
      <w:r>
        <w:t>2 Meldung und Regulierung</w:t>
      </w:r>
    </w:p>
    <w:p>
      <w:r>
        <w:t>Die Stadt meldet mögliche Versicherungsfälle unverzüglich nach Kenntnis an die Schadenabteilung und reicht wesentliche Berichte sowie Bezifferungen nach. Die Meldebestätigung ersetzt keine Anerkennung der Außenforderung. Vergleiche werden zwischen Stadt und Versicherer abgestimmt; eine Freigabe im Innenverhältnis ist kein Vertrag mit dem Geschädigten. Daten werden nur im erforderlichen Umfang über den geschützten Schadenkanal übermittelt. Ein Landkreis wird nicht allein wegen seiner Aufsichtstätigkeit mitversichert.</w:t>
      </w:r>
    </w:p>
    <w:p>
      <w:pPr>
        <w:pStyle w:val="Heading1"/>
      </w:pPr>
      <w:r>
        <w:t>3 Rückversicherung im Szenario</w:t>
      </w:r>
    </w:p>
    <w:p>
      <w:r>
        <w:t>Der Versicherer hält für diesen Vertragsbestand eine eigene Schadenexzedentenvereinbarung mit Kranich Rückversicherung AG. Sie setzt bei 250.000 EUR versicherter Entschädigung je Ereignis oberhalb der Selbstbeteiligung des Erstversicherers an; Kostenregelungen und Kumule wären gesondert abzustimmen. Eine Einzelanzeige ist ab einer voraussichtlichen Belastung von 200.000 EUR sowie bei erkennbar zusammengehörigen Serienschäden vorgesehen. Der vorliegende, isolierte Sachschaden von 47.820 EUR erreicht diese Schwelle nicht. Es wird daher keine fallbezogene Rückversichererkorrespondenz erzeugt.</w:t>
      </w:r>
    </w:p>
    <w:p>
      <w:pPr>
        <w:pStyle w:val="Heading1"/>
      </w:pPr>
      <w:r>
        <w:t>4 Herkunft und Reichweite</w:t>
      </w:r>
    </w:p>
    <w:p>
      <w:r>
        <w:t>Die vorstehenden Vertragsbestimmungen sind eine vollständige didaktische Vereinbarung ausschließlich für diesen fiktiven Prüffall. Sie sind keine Wiedergabe tatsächlicher Bedingungen von AKHA, BADK, eines bestehenden Kommunalversicherers oder eines realen Rückversicherers. Eine AKHA-Mitgliedschaft oder Beteiligung wird für diesen Vorgang nicht unterstellt. Die Ausfertigung wurde im Fallarchiv am 18.09.2026 zur Schadenakte genommen. Unterzeichnet im Szenario durch Roswitha Kren für die Stadt und Severin Salbei für den Versicherer.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Deckungsunterlagen: Vereinbarter Prüffall LQ-AH-2026</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