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Technischer Nachtrag: Falzmaschine, Trocknung und Ersatzmiete</w:t>
      </w:r>
    </w:p>
    <w:p>
      <w:pPr>
        <w:pStyle w:val="Heading1"/>
      </w:pPr>
      <w:r>
        <w:t>1 Auftrag und Material</w:t>
      </w:r>
    </w:p>
    <w:p>
      <w:r>
        <w:t>Wendelin Knopf beauftragte die technische Abgrenzung des Wasserschadens an FK-8. Ausgewertet wurden der gemeinsam aufgenommene Nassbereich, die Wartung vom 04.08., die Diagnose vom 16.09. und die bis 29.09. abgeschlossene Reparatur. Die Aussage zur Einwirkungsrichtung stützt sich auf den örtlichen Befund, nicht auf eine persönliche Beobachtung des Schlauchbetriebs. Ein gerichtliches Gutachten wird hierdurch nicht ersetzt.</w:t>
      </w:r>
    </w:p>
    <w:p>
      <w:pPr>
        <w:pStyle w:val="Heading1"/>
      </w:pPr>
      <w:r>
        <w:t>2 Schaden und Reparatur</w:t>
      </w:r>
    </w:p>
    <w:p>
      <w:r>
        <w:t>Der Wasserstand erreichte Antrieb und zwei untere Steuermodule. Dort fanden sich Feuchterückstände; die oberen Komponenten blieben trocken. Die während der Wartung festgehaltenen Funktionswerte waren unauffällig. Der Kundendienst führte an den feuchten Modulen zunächst eine Reinigung und Isolationsprüfung durch; die Freigabewerte wurden nicht erreicht. Ersatz war erforderlich. Antrieb und Module wurden durch baugleiche aktuelle Ersatzteile ersetzt, ohne Leistungssteigerung, Kapazitätserweiterung oder Verlängerung eines vereinbarten Wartungsintervalls. Ein eigenständiger wirtschaftlicher Mehrwert gegenüber einer funktionsfähigen reparierten Maschine ist technisch nicht erkennbar; eine rechtliche Vorteilsausgleichung entscheidet dies nicht vorweg.</w:t>
      </w:r>
    </w:p>
    <w:p>
      <w:pPr>
        <w:pStyle w:val="Heading1"/>
      </w:pPr>
      <w:r>
        <w:t>3 Zeit und Vermeidung von Mehrkosten</w:t>
      </w:r>
    </w:p>
    <w:p>
      <w:r>
        <w:t>Die Reparatur dauerte wegen Diagnostik und Teilelieferung vom 16.09. bis 29.09.2026. Die Schlussprüfung erfolgte am 29.09. um 15:40 Uhr. Die Leihmaschine war nur während dieser Zeit vorhanden. Ihre Rückholung war Bestandteil des Pauschaltransports. Eine technisch zumutbare frühere Wiederaufnahme mit der beschädigten Maschine bestand nicht. Durch die sofortige Abschaltung und die Trocknung wurde eine weitere Beschädigung der oberen Baugruppen vermieden.</w:t>
      </w:r>
    </w:p>
    <w:p>
      <w:pPr>
        <w:pStyle w:val="Heading1"/>
      </w:pPr>
      <w:r>
        <w:t>4 Vorbehalte und Sicherung</w:t>
      </w:r>
    </w:p>
    <w:p>
      <w:r>
        <w:t>Die Ersatzteile beweisen nicht für sich, wer den Schlauch öffnete. Zum Brandort lag keine räumliche Verbindung durch Rauch oder Löschwasserablauf in der Garage vor. Die Wasserlinie konzentrierte sich unmittelbar hinter dem Lichtschacht. Ein eigener Rohrbruch wurde bei der Sichtung nicht gefunden. Die ausgebauten Module werden bis 30.11.2026 aufbewahrt; eine Besichtigung kann nach Terminabsprache erfolgen. Zwei Musterlose Papier bleiben beim Betrieb. Der Umfang der nicht mehr verwendbaren Bogen wurde mit der Buchhaltung und dem Inventar abgeglichen.</w:t>
      </w:r>
    </w:p>
    <w:p>
      <w:r>
        <w:t>Diplom-Ingenieurin Marisol Mohn, 02.10.2026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Technischer Nachtrag: Falzmaschine, Trocknung und Ersatzmiete</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