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Rechtsvermerk: Feuerwehr, Stadt und Landkreis</w:t>
      </w:r>
    </w:p>
    <w:p>
      <w:pPr>
        <w:pStyle w:val="Heading1"/>
      </w:pPr>
      <w:r>
        <w:t>1 Prüfauftrag und Ergebnis</w:t>
      </w:r>
    </w:p>
    <w:p>
      <w:r>
        <w:t>Der Rückbau nach dem Einsatz ist funktional Teil der gemeindlichen Tätigkeit. Bei bewiesenem ungesichertem Spülen haftet grundsätzlich die Stadt aus § 839 Abs. 1 BGB in Verbindung mit Art. 34 GG. Die Lehreinheit trennt den erforderlichen Löschangriff von einem vermeidbaren späteren Ausführungsfehler. Ein Sachschaden allein beweist weder Fahrlässigkeit noch die Schadenshöhe.</w:t>
      </w:r>
    </w:p>
    <w:p>
      <w:pPr>
        <w:pStyle w:val="Heading1"/>
      </w:pPr>
      <w:r>
        <w:t>2 Rollen</w:t>
      </w:r>
    </w:p>
    <w:p>
      <w:r>
        <w:t>Art. 1 BayFwG betrifft die gemeindliche Pflichtaufgabe, Art. 2 die überörtliche Ausstattung durch den Landkreis und Art. 18 die konkrete Einsatzleitung. Hier blieb diese beim örtlichen Kommandanten. Das ist belegt und wird nicht aus der bloßen Kreisangehörigkeit abgeleitet. Art. 9 BayFwG regelt Freistellungs-, Entgeltfortzahlungs- und Erstattungsansprüche der Feuerwehrdienstleistenden; er ist keine Anspruchsgrundlage für den außenstehenden Buchbinder.</w:t>
      </w:r>
    </w:p>
    <w:p>
      <w:r>
        <w:t>Art. 27 BayFwG ist gesondert zu lesen: unzumutbarer Schaden, Subsidiarität, Ausschluss bei unmittelbarem Schutz des Betroffenenvermögens und Begrenzung auf Vermögensschaden sind eigene Voraussetzungen. Die Norm verdrängt eine schuldhafte Amtspflichtverletzung nicht durch eine pauschale „Einsatzimmunität“. Ob notwendige Maßnahmen einen Entschädigungsanspruch ausgelöst hätten, entscheidet den hier geltend gemachten Rückbaufehler nicht.</w:t>
      </w:r>
    </w:p>
    <w:p>
      <w:pPr>
        <w:pStyle w:val="Heading1"/>
      </w:pPr>
      <w:r>
        <w:t>3 Rechtsprechungsanker und Beweis</w:t>
      </w:r>
    </w:p>
    <w:p>
      <w:r>
        <w:t>BGH, Urteil vom 14.06.2018 – III ZR 54/17, BGHZ 219, 77, Rn. 47 und 53: Für Amtshaftung bei amtlicher Gefahrenabwehr besteht kein allgemeines Nothelferprivileg nach § 680 BGB. Dieser Anker ersetzt die konkrete ex-ante-Sorgfaltsprüfung nicht. Die dort behandelten PFOS-Folgen dürfen nicht auf gewöhnliches Wasser übertragen werden. Für diesen Fall müssen die Leitungslage, Kommunikation vor Freigabe, zeitliche Entspannung und technische Ursächlichkeit bewiesen werden.</w:t>
      </w:r>
    </w:p>
    <w:p>
      <w:pPr>
        <w:pStyle w:val="Heading1"/>
      </w:pPr>
      <w:r>
        <w:t>4 Deckung und nächste Schritte</w:t>
      </w:r>
    </w:p>
    <w:p>
      <w:r>
        <w:t>Die dokumentierten Bedingungen ergeben einen möglichen Erstversicherungsschutz mit 1.000 EUR Selbstbehalt. Weder Selbstbehalt noch Reserve kürzen den Außenanspruch. Die fiktive Einzelmeldeschwelle der Rückversicherung ist derzeit nicht erreicht. Eine tatsächliche AKHA-Beteiligung ist nicht vereinbart. Vor einer Klageeinreichung sind Antwortstand, Zahlungen, Eigentum, Abtretungen und konkrete Beweisanschriften erneut abzugleichen. Der vorliegende Auftrag betrifft zunächst nur die Vorbereitung; kein Schriftsatz wurde versandt.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Rechtsvermerk: Feuerwehr, Stadt und Landkreis</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