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ARCHIVKOPIE – historischer Stand 21. September 2026.</w:t>
        <w:br/>
        <w:t>Am 5. Oktober 2026 für die Akte ausgefertigt. Durch den späteren Teilvergleich und dessen Bezahlung überholt; keine aktuelle Zahlungsaufforderung.</w:t>
      </w:r>
    </w:p>
    <w:p>
      <w:r>
        <w:t>Rechtsanwalt Selim Berg · Kanzlei Berg &amp; Auen</w:t>
        <w:br/>
        <w:t>Auenring 11, 97072 Würzburg</w:t>
      </w:r>
    </w:p>
    <w:p>
      <w:r>
        <w:t>21.09.2026</w:t>
      </w:r>
    </w:p>
    <w:p>
      <w:pPr>
        <w:pStyle w:val="Title"/>
      </w:pPr>
      <w:r>
        <w:t>Historisches Forderungsschreiben vor dem Vergleich</w:t>
      </w:r>
    </w:p>
    <w:p>
      <w:r>
        <w:t>An die Klinik Mainblick GmbH</w:t>
        <w:br/>
        <w:t>z. H. Geschäftsführerin Mareike Seidel</w:t>
        <w:br/>
        <w:t>Mainauenweg 18, 97074 Würzburg</w:t>
      </w:r>
    </w:p>
    <w:p>
      <w:r>
        <w:t>Sehr geehrte Frau Seidel,</w:t>
      </w:r>
    </w:p>
    <w:p>
      <w:r>
        <w:t>ich vertrete Nora Winter, geboren am 14. Februar 2016, gemeinsam gesetzlich vertreten durch Hannah und Tobias Winter. Unter Berücksichtigung des Anerkenntnisses von 2018 und der bereits geleisteten Vorschüsse präzisiere ich zwei gegenwärtig prüfbare Positionen. Dieses Schreiben gibt ausschließlich den Stand vom 21. September wieder; die parallel geführten Vergleichsgespräche haben heute noch keinen verbindlichen Gesamtabfindungsbetrag hervorgebracht.</w:t>
      </w:r>
    </w:p>
    <w:p>
      <w:r>
        <w:t>Aus der vollständig bezahlten Rechnung Raumweg Bau GmbH über 180.000 EUR brutto verbleiben nach Anrechnung des zweckbezogenen Abschlags von 100.000 EUR noch 80.000 EUR. Die Rechnung betrifft Zugang, Türanpassung, Pflegebad und Liftvorbereitung für Nora. Eine über diese Rechnung hinausgehende Wohnkapitalisierung wird nicht verlangt. Bitte teilen Sie bis zum 30. September mit, welche konkrete Position Sie beanstanden, und ersetzen Sie den berechtigten Restbetrag.</w:t>
      </w:r>
    </w:p>
    <w:p>
      <w:r>
        <w:t>Daneben halten wir ein weiteres angemessenes Schmerzensgeld für erforderlich. Unsere derzeitige Orientierung beträgt insgesamt 900.000 EUR, wovon die bereits gezahlten 300.000 EUR abzuziehen sind; die offene Orientierung beträgt daher 600.000 EUR. Dies ist eine zu begründende Bewertung der schweren, dauerhaften Folgen und kein bereits anerkannter oder tariflich festgelegter Betrag. Maßgeblich sollen sämtliche jetzt erkennbaren und vorhersehbaren Folgen sein. Eine beliebige Aufteilung in Schmerzensgeldjahre beabsichtigen wir nicht.</w:t>
      </w:r>
    </w:p>
    <w:p>
      <w:r>
        <w:t>Künftige Pflege- und Erwerbsschäden sollen in diesem begrenzten Zahlungsbegehren nicht frei kapitalisiert werden. Die Rechte aus dem Anerkenntnis, einschließlich seiner Feststellungswirkung und seines Verjährungsverzichts, bleiben im dort geregelten Umfang bestehen. Eigene Ansprüche der Eltern, übergegangene Ansprüche von Leistungsträgern und interne Versicherungsabrechnungen sind nicht Gegenstand dieses Schreibens. Eine Gesamterledigung wird nicht angeboten.</w:t>
      </w:r>
    </w:p>
    <w:p>
      <w:r>
        <w:t>Mit freundlichen Grüßen</w:t>
        <w:br/>
        <w:t>Selim Berg</w:t>
        <w:br/>
        <w:t>Rechtsanwalt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Historisches Forderungsschreiben vor dem Vergleich</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