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ARCHIVKOPIE – historischer Stand 22. September 2026.</w:t>
        <w:br/>
        <w:t>Am 5. Oktober 2026 für die Akte ausgefertigt. Durch spätere Vereinbarung und Zahlung überholt; kein aktueller Regulierungsstand.</w:t>
      </w:r>
    </w:p>
    <w:p>
      <w:r>
        <w:t>Klinik Mainblick GmbH</w:t>
        <w:br/>
        <w:t>Mainauenweg 18, 97074 Würzburg</w:t>
      </w:r>
    </w:p>
    <w:p>
      <w:r>
        <w:t>22.09.2026</w:t>
      </w:r>
    </w:p>
    <w:p>
      <w:pPr>
        <w:pStyle w:val="Title"/>
      </w:pPr>
      <w:r>
        <w:t>Historische Antwort auf das begrenzte Forderungsschreiben</w:t>
      </w:r>
    </w:p>
    <w:p>
      <w:r>
        <w:t>An Rechtsanwalt Selim Berg</w:t>
        <w:br/>
        <w:t>Auenring 11, 97072 Würzburg</w:t>
      </w:r>
    </w:p>
    <w:p>
      <w:r>
        <w:t>Sehr geehrter Herr Berg,</w:t>
      </w:r>
    </w:p>
    <w:p>
      <w:r>
        <w:t>wir haben Ihr Schreiben vom 21. September erhalten. An der durch das Anerkenntnis von 2018 beschriebenen Haftung dem Grunde nach halten wir fest. Die von Ihnen nun verlangten Beträge sind dadurch nicht automatisch anerkannt. Ihre Anrechnung des Schmerzensgeldvorschusses von 300.000 EUR und des für die Wohnanpassung verwendeten Abschlags von 100.000 EUR entspricht der mitgeteilten Zweckzuordnung; eine weitere auf diese Rechnung geleistete Zahlung ist uns heute nicht bekannt.</w:t>
      </w:r>
    </w:p>
    <w:p>
      <w:r>
        <w:t>Wir möchten zur Schlussrechnung insbesondere die medizinisch bedingte Erforderlichkeit sämtlicher Arbeiten und etwaige Leistungen anderer Träger überprüfen. Dass die Rechnung bezahlt ist, beantwortet diese Fragen nicht allein. Die Restforderung von 80.000 EUR nehmen wir zur Prüfung auf. Einen pauschalen Vorteil allein aus dem Eigentum der Eltern am Wohnhaus behaupten wir damit nicht; eine mögliche darüber hinausgehende Verbesserung wäre konkret zu bewerten.</w:t>
      </w:r>
    </w:p>
    <w:p>
      <w:r>
        <w:t>Auch die Schmerzensgeldhöhe bleibt Gegenstand der Besprechung. Der aktuelle Bericht beschreibt einen sehr hohen Hilfebedarf. Er enthält aber keine individuelle statistische Lebenszeitprognose, aus der eine taggenaue Berechnung abgeleitet werden könnte. Einen bestimmten Gesamtbetrag haben wir bisher nicht verbindlich vereinbart. Bitte verstehen Sie diese Antwort weder als endgültige Ablehnung jeder weiteren Zahlung noch als Einigung auf 900.000 EUR.</w:t>
      </w:r>
    </w:p>
    <w:p>
      <w:r>
        <w:t>Die Gespräche werden fortgesetzt. Eine Vereinbarung zur abschließenden Regulierung anderer Positionen ist mit diesem Antwortschreiben nicht geschlossen. Interne Rückdeckungsmodelle werden nicht Bestandteil der Haftungsbeziehung zu Nora Winter.</w:t>
      </w:r>
    </w:p>
    <w:p>
      <w:r>
        <w:t>Mit freundlichen Grüßen</w:t>
        <w:br/>
        <w:t>Mareike Seidel</w:t>
        <w:br/>
        <w:t>Geschäftsführerin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Historische Antwort auf das begrenzte Forderungsschreiben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