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Klinik Mainblick GmbH</w:t>
        <w:br/>
        <w:t>Mareike Seidel · Mainauenweg 18 · 97074 Würzburg</w:t>
      </w:r>
    </w:p>
    <w:p>
      <w:r>
        <w:t>Frankenbogen Kommunalversicherung VVaG</w:t>
        <w:br/>
        <w:t>Frau Gundula Pfennig · Versicherungsbogen 8 · 97080 Würzburg</w:t>
      </w:r>
    </w:p>
    <w:p>
      <w:r>
        <w:t>05.10.2026</w:t>
      </w:r>
    </w:p>
    <w:p>
      <w:pPr>
        <w:pStyle w:val="Title"/>
      </w:pPr>
      <w:r>
        <w:t>Winter – Familienzahlung abgeschlossen, Unterlagen für interne Abrechnung</w:t>
      </w:r>
    </w:p>
    <w:p>
      <w:r>
        <w:t>Sehr geehrte Frau Pfennig,</w:t>
      </w:r>
    </w:p>
    <w:p>
      <w:r>
        <w:t>wir bestätigen nach Abgleich mit dem Elternschreiben und Ihrem Zahlungsjournal, dass die Schlusszahlung von 12.000.000 EUR am 29. September ausgeführt wurde. Zusammen mit den vier früheren Vorschüssen von 300.000 EUR, 250.000 EUR, 350.000 EUR und 300.000 EUR sind die im Teilvergleich vereinbarten 13.200.000 EUR vollständig an Nora geleistet. Die Familie hat seitdem keine neue Forderung erhoben. Der historische Klagevorentwurf betrifft den Stand vor dem Vergleich und ist kein offener Gerichtsauftrag.</w:t>
      </w:r>
    </w:p>
    <w:p>
      <w:r>
        <w:t>Für den Bericht an unsere kommunale Gesellschafterin benötigen wir eine verständliche Darstellung der noch offenen internen Abrechnung. Nach Ihrem Stand vom 2. Oktober hat Frankenbogen 8.500.000 EUR aus der Ausgleichsebene erhalten; weitere 3.200.000 EUR stehen dort offen. Diese Differenz ist kein noch unbezahlter Betrag des Vergleichs. Bitte vermeiden Sie in den Auswertungen die missverständliche Überschrift „Restforderung Winter“, wenn damit Ihre eigene Ausgleichsforderung gemeint ist.</w:t>
      </w:r>
    </w:p>
    <w:p>
      <w:r>
        <w:t>Die gesonderte Reserve von 650.000 EUR betrifft mögliche übergegangene Ansprüche der Kranken- und Pflegekasse. Sie ist weder eine sechste Familienzahlung noch eine freie Reserve für eine erneute Abfindung. Uns liegt noch keine prüffähige abschließende Trägerabrechnung vor. Bitte senden Sie hierfür nur die konkret erforderlichen Nachfragen; die Eltern sollen nicht erneut bereits erledigte Zahlungsvoraussetzungen nachweisen müssen.</w:t>
      </w:r>
    </w:p>
    <w:p>
      <w:r>
        <w:t>Unsere Stellungnahme enthält kein Anerkenntnis eines Trägerregresses und keine Änderung des Vorbehalts für bei Vergleichsschluss nicht vorhersehbare weitere Schäden. Die in der Deckungsbestätigung genannte Versicherungssumme von 30.000.000 EUR und der fehlende Selbstbehalt der Klinik bleiben vom internen Mitgliedsselbstbehalt unberührt. Bitte bestätigen Sie, dass eine ausstehende Rückversicherungszahlung weder die bereits erfüllte Familienzahlung noch eine zusätzliche Zahlungspflicht unserer Klinik auslöst.</w:t>
      </w:r>
    </w:p>
    <w:p>
      <w:r>
        <w:t>Mit freundlichen Grüßen</w:t>
        <w:br/>
        <w:t>Mareike Seidel</w:t>
        <w:br/>
        <w:t>Geschäftsführerin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Winter – Familienzahlung abgeschlossen, Unterlagen für interne Abrechnung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