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w:t>
        <w:br/>
        <w:t>Hannes Fink · Versicherungsbogen 8 · 97080 Würzburg</w:t>
      </w:r>
    </w:p>
    <w:p>
      <w:r>
        <w:t>Klinik Mainblick GmbH</w:t>
        <w:br/>
        <w:t>Frau Mareike Seidel · Mainauenweg 18 · 97074 Würzburg</w:t>
      </w:r>
    </w:p>
    <w:p>
      <w:r>
        <w:t>05.10.2026</w:t>
      </w:r>
    </w:p>
    <w:p>
      <w:pPr>
        <w:pStyle w:val="Title"/>
      </w:pPr>
      <w:r>
        <w:t>Winter – Abgleich von Erfüllung, Ausgleich und Rückversicherung</w:t>
      </w:r>
    </w:p>
    <w:p>
      <w:r>
        <w:t>Sehr geehrte Frau Seidel,</w:t>
      </w:r>
    </w:p>
    <w:p>
      <w:r>
        <w:t>die Leistung an Nora ist vollständig erfüllt. Der in unseren Unterlagen enthaltene Mitgliedsselbstbehalt von 1.500.000 EUR wird ausschließlich von Frankenbogen im internen Modell getragen. Er ist kein Selbstbehalt Ihrer Klinik und wird weder von Ihnen noch von der Familie nachgefordert. Ihr Krankenhaushaftpflichtvertrag enthält nach der bereits vorliegenden Bestätigung keinen Selbstbehalt.</w:t>
      </w:r>
    </w:p>
    <w:p>
      <w:r>
        <w:t>Die interne Anmeldung beruht auf insgesamt 13.200.000 EUR tatsächlicher Entschädigung einschließlich der alten Vorschüsse. Nach Abzug von 1.500.000 EUR verbleiben 11.700.000 EUR Bruttoforderung an die Ausgleichsebene. Davon gingen am 2. Oktober 8.500.000 EUR bei Frankenbogen ein; offen bleiben 3.200.000 EUR. Unsere momentane Liquiditätsbelastung beträgt deshalb 4.700.000 EUR. Sie ist von der nach vollständigem Modellvollzug vorgesehenen endgültigen Eigenbelastung von 1.500.000 EUR zu unterscheiden.</w:t>
      </w:r>
    </w:p>
    <w:p>
      <w:r>
        <w:t>Die Ausgleichsebene hat ihrerseits eine Anmeldung von 3.200.000 EUR an Auenfels. Nach der Modellvereinbarung bezieht sich die dortige Priorität von 10.000.000 EUR auf den ursprünglichen Gesamtschaden von 13.200.000 EUR und nicht auf den zuvor um unseren Mitgliedsselbstbehalt gekürzten Betrag. Deshalb ergibt sich 3.200.000 EUR, nicht der früher fehlerhaft genannte Betrag von 1.700.000 EUR. Der offene Betrag bei Frankenbogen und der offene Betrag bei der Ausgleichsebene sind zwei Abrechnungsbeziehungen derselben oberen Schicht und werden nicht zu 6.400.000 EUR addiert.</w:t>
      </w:r>
    </w:p>
    <w:p>
      <w:r>
        <w:t>Bis heute liegt weiterhin kein Zahlungseingang von Auenfels vor. Die Anmeldung ersetzt weder Fälligkeitsprüfung noch Bankabgleich. Die gesonderte Drittregressreserve von 650.000 EUR ist in keiner dieser Zahlungs- und Schichtenrechnungen enthalten. Für sie ist keine Rückdeckungsforderung gebucht. Tatsächliche AKHA-Vertragsbedingungen werden durch diese frei gesetzte Modellvereinbarung nicht behauptet. Die Eltern haben mit diesen internen Vorgängen nichts zu veranlassen; wir verlangen keine neue Bestätigung ihrer bereits belegten Schlusszahlung.</w:t>
      </w:r>
    </w:p>
    <w:p>
      <w:r>
        <w:t>Mit freundlichen Grüßen</w:t>
        <w:br/>
        <w:t>Hannes Fink</w:t>
        <w:br/>
        <w:t>Rückdeckung und Controlling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Winter – Abgleich von Erfüllung, Ausgleich und Rückversicherung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