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Rechtsanwältin Frieda Eichenlaub</w:t>
        <w:br/>
        <w:t>Lindenkornweg 11, 97074 Würzburg</w:t>
      </w:r>
    </w:p>
    <w:p>
      <w:r>
        <w:t>An die Stadt Würzburg, Rechtsstelle</w:t>
        <w:br/>
        <w:t>Mainlaubplatz 1, 97070 Würzburg</w:t>
      </w:r>
    </w:p>
    <w:p>
      <w:r>
        <w:t>02.10.2026</w:t>
      </w:r>
    </w:p>
    <w:p>
      <w:pPr>
        <w:pStyle w:val="Title"/>
      </w:pPr>
      <w:r>
        <w:t>Zeisig gegen Stadt Würzburg – ergänzende Begründung</w:t>
      </w:r>
    </w:p>
    <w:p>
      <w:r>
        <w:t>Sehr geehrte Frau Holler,</w:t>
      </w:r>
    </w:p>
    <w:p>
      <w:r>
        <w:t>ich vertrete Frau Kunigunde Zeisig wegen ihres Sturzes vom 13. Januar. Nach Einsicht in die von Ihnen überlassenen Winterdienstunterlagen konkretisiere ich ihre Forderung auf 148,75 EUR nachgewiesene Haushaltshilfe und ein angemessenes Schmerzensgeld, das wir mit 1.600,00 EUR bewerten. Den am 30. September erbetenen Antworttermin 12. Oktober halten wir aufrecht.</w:t>
      </w:r>
    </w:p>
    <w:p>
      <w:r>
        <w:t>Die Erststreuung um 05:54 Uhr wird nicht pauschal bestritten. Entscheidend ist die neue, konkrete Glättemeldung um 07:20 Uhr. Die Querung gehört nach Ihrem eigenen Tourenblatt zur ersten Priorität, verbindet Haltestelle und Bäckerei und liegt in einer verschatteten Gefällestrecke. Herr Dörflein hat inzwischen bestätigt, dass ein ausgerüsteter Handtrupp im Hof verfügbar war. Nach der angegebenen Wege- und Arbeitszeit hätte dieser den Querungsstreifen vor dem Sturz bearbeiten können, während das Fahrzeug am Seniorenhaus geblieben wäre.</w:t>
      </w:r>
    </w:p>
    <w:p>
      <w:r>
        <w:t>Die Zeugin Rahmani kann den genauen letzten Fußkontakt nicht festlegen. Sie bestätigt jedoch eigenes Rutschen im letzten Fahrbahnabschnitt und normales Gehen meiner Mandantin. Meine Mandantin bleibt bei ihrer zeitnah dokumentierten Erinnerung, noch auf der Fahrbahn ausgerutscht zu sein. Wir behaupten weder ein nicht vorhandenes Unfallfoto noch eine sichere Wahrnehmung der Zeugin über die verdeckte Stelle.</w:t>
      </w:r>
    </w:p>
    <w:p>
      <w:r>
        <w:t>Der Befund weist Distorsion und Prellung aus. Die eingekaufte Hilfe betraf tatsächlich ausgeführte Arbeiten, die wegen der Verletzung anfielen. Einen Dauerschaden, Behandlungskosten der Krankenversicherung und unentgeltliche Familienhilfe machen wir nicht geltend. Die Beschwerden waren nach Angaben meiner Mandantin Ende Februar abgeklungen.</w:t>
      </w:r>
    </w:p>
    <w:p>
      <w:r>
        <w:t>Bitte teilen Sie mit, ob die Stadt den zeitlichen Angaben zum Handtrupp oder dessen Verfügbarkeit widerspricht und auf welche konkreten Aufgaben sie einen solchen Widerspruch stützt. Wir bitten ferner, Telefonblatt, Schichtbuch und Streufahrtdaten im ursprünglichen Zusammenhang aufzubewahren. Eine pauschale Berufung auf die frühere Streufahrt beantwortet die erneute Gefahrenmeldung nicht. Zugleich sind wir bereit, über eine Einigung zu sprechen, die das Beweisrisiko des Sturzpunkts angemessen berücksichtigt.</w:t>
      </w:r>
    </w:p>
    <w:p>
      <w:r>
        <w:t>Mit freundlichen Grüßen</w:t>
        <w:br/>
        <w:t>Frieda Eichenlaub</w:t>
        <w:br/>
        <w:t>Rechtsanwältin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Zeisig gegen Stadt Würzburg – ergänzende Begründung</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