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Rechtsstelle</w:t>
        <w:br/>
        <w:t>Mainlaubplatz 1, 97070 Würzburg</w:t>
      </w:r>
    </w:p>
    <w:p>
      <w:r>
        <w:t>An Rechtsanwältin Frieda Eichenlaub</w:t>
        <w:br/>
        <w:t>Lindenkornweg 11, 97074 Würzburg</w:t>
      </w:r>
    </w:p>
    <w:p>
      <w:r>
        <w:t>05.10.2026</w:t>
      </w:r>
    </w:p>
    <w:p>
      <w:pPr>
        <w:pStyle w:val="Title"/>
      </w:pPr>
      <w:r>
        <w:t>Sturz Krummblattbogen – vorläufige Stellungnahme</w:t>
      </w:r>
    </w:p>
    <w:p>
      <w:r>
        <w:t>Sehr geehrte Frau Eichenlaub,</w:t>
      </w:r>
    </w:p>
    <w:p>
      <w:r>
        <w:t>wir bestätigen den Eingang Ihres Schreibens vom 2. Oktober. Der Anspruch wird weiterhin geprüft; eine abschließende Entscheidung soll innerhalb der von Ihrer Mandantin gesetzten Frist erfolgen. Mit diesem Schreiben ist weder eine Zahlung zugesagt noch die Haftung anerkannt.</w:t>
      </w:r>
    </w:p>
    <w:p>
      <w:r>
        <w:t>Die Angaben des Bauhofs zum Handtrupp haben wir Ihnen vollständig weitergegeben. Der Trupp befand sich im Hof und hatte keinen neuen dringlichen Auftrag. Ob die telefonische Meldung in der damaligen Situation bereits eine unverzügliche Entsendung dieses Trupps erforderte, halten wir für offen. Das reguläre Streufahrzeug bearbeitete eine steile Zufahrt, bei der ebenfalls Personen gefährdet sein konnten. Die Wegezeit von zwölf Minuten ist ein Erfahrungswert; die tatsächliche Zeit am Unfallmorgen ist nicht nachgestellt. Wir bestreiten deshalb die von Ihnen abgeleitete sichere rechtzeitige Verhinderung des Sturzes.</w:t>
      </w:r>
    </w:p>
    <w:p>
      <w:r>
        <w:t>Weiter bleibt ungeklärt, ob Ihre Mandantin auf der Fahrbahn oder auf dem anschließenden Gehweg ausrutschte. Frau Rahmani hat diesen Punkt ausdrücklich nicht sicher wahrgenommen. Die Unterlagen belegen eine frühe Streufahrt und eine spätere Nachstreuung, aber keinen flächendeckenden Eiszustand um 07:42 Uhr. Die Beobachtungen auf dem Betriebshof dürfen nicht als amtliche Wetterfeststellung für die Unfallstelle behandelt werden.</w:t>
      </w:r>
    </w:p>
    <w:p>
      <w:r>
        <w:t>Die Zahlung von 148,75 EUR ist nachvollziehbar. Die unfallbedingte Erforderlichkeit sämtlicher fünf Stunden und die Bewertung des Schmerzensgelds bleiben Gegenstand der Prüfung. Wir begrüßen die Klarstellung, dass keine bleibende Verletzung behauptet wird. Über etwaige Ansprüche der Krankenversicherung treffen wir mit Ihnen keine Verfügung. Eine quotenmäßige Lösung ist derzeit weder zugesagt noch ausgeschlossen.</w:t>
      </w:r>
    </w:p>
    <w:p>
      <w:r>
        <w:t>Die genannten Betriebsunterlagen werden erhalten. Eine abschließende Entscheidung der Rechtsstelle liegt am heutigen Tag noch nicht vor. Ihr Schreiben hat das vorhandene Prüfmandat der Stadt nicht erweitert; externe Erklärungen eines Bevollmächtigten sind damit nicht verbunden.</w:t>
      </w:r>
    </w:p>
    <w:p>
      <w:r>
        <w:t>Mit freundlichen Grüßen</w:t>
        <w:br/>
        <w:t>Gertraud Holler</w:t>
        <w:br/>
        <w:t>Rechtsstelle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Sturz Krummblattbogen – vorläufige Stellungnahme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