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Rechtsstelle, Mainlaubplatz 1, 97070 Würzburg</w:t>
      </w:r>
    </w:p>
    <w:p>
      <w:r>
        <w:t>Kommunalversicherung Mainbogen VVaG, Kornfalterweg 6, 97076 Würzburg</w:t>
      </w:r>
    </w:p>
    <w:p>
      <w:r>
        <w:t>05.10.2026</w:t>
      </w:r>
    </w:p>
    <w:p>
      <w:pPr>
        <w:pStyle w:val="Title"/>
      </w:pPr>
      <w:r>
        <w:t>Zeisig – neue Deckungsunterlagen und konkrete Prüffragen</w:t>
      </w:r>
    </w:p>
    <w:p>
      <w:r>
        <w:t>Sehr geehrter Herr Hasenwinkel,</w:t>
      </w:r>
    </w:p>
    <w:p>
      <w:r>
        <w:t>unsere Vertragsverwaltung hat heute gegen 14:00 Uhr den Vertrag KM-W-2026 zugeordnet. Bis dahin lagen der Rechtsstelle und der beauftragten Kanzlei keine Versicherungsunterlagen für den Sturzfall Zeisig vor. Wir melden den Vorgang jetzt zur Deckungsprüfung nach und bitten um ausdrückliche Mitteilung, welche Bedeutung Sie dem Meldezeitpunkt beimessen. Wir stellen den bisherigen Kenntnisstand nicht nachträglich anders dar.</w:t>
      </w:r>
    </w:p>
    <w:p>
      <w:r>
        <w:t>Die Forderung beträgt nach dem ergänzten Anwaltsschreiben 148,75 EUR Haushaltshilfe und ein mit 1.600,00 EUR bewertetes Schmerzensgeld. Die Anspruchstellerin behauptet keinen Dauerschaden. Die Frist für unsere Antwort endet am 12. Oktober. Eine Zahlung oder ein Anerkenntnis ist nicht erfolgt. Die Kanzlei soll zunächst das Haftungsrisiko prüfen; ein gerichtliches Verfahren ist nicht eingeleitet.</w:t>
      </w:r>
    </w:p>
    <w:p>
      <w:r>
        <w:t>Der Bauhof kann die Erststreuung um 05:54 Uhr und die Nachstreuung um 07:52 Uhr zeitlich belegen. Die entscheidende neue Meldung ging um 07:20 Uhr ein. Ein verfügbarer Handtrupp hätte nach der ergänzten Aussage möglicherweise vor dem Sturz um 07:42 Uhr tätig werden können. Die frühere pauschale Annahme, sämtliche Kräfte seien am Seniorenhaus gebunden gewesen, trägt deshalb nicht ohne weitere Prüfung. Andererseits kann die Zeugin den letzten Fußkontakt wegen eines Lieferwagens nicht sicher sehen. Dieser Unterschied zwischen Fahrbahn und Gehweg bleibt wesentlich.</w:t>
      </w:r>
    </w:p>
    <w:p>
      <w:r>
        <w:t>Bitte prüfen Sie Abwehrdeckung und Selbstbehalt getrennt von der Frage, ob der behauptete Sturzpunkt bewiesen werden kann. Wir bitten weder um eine vollständige Ablehnung wegen einer früheren Streufahrt noch um eine Zahlung allein wegen der Einsatzlücke. Bei einer möglichen Vergleichsspanne müssen Aussagegrenzen, Verletzungsverlauf und nachgewiesene Hilfe berücksichtigt werden. Für eine Beteiligung des Landkreises besteht kein tatsächlicher Anknüpfungspunkt; der Abschnitt ist eine Gemeindestraße der kreisfreien Stadt.</w:t>
      </w:r>
    </w:p>
    <w:p>
      <w:r>
        <w:t>Wir sichern Telefonblatt, Fahrzeugdaten und Schichtbuch. Bitte benennen Sie die noch benötigten Informationen gebündelt. Medizinische Unterlagen werden nur soweit für diesen Anspruch erforderlich weitergegeben. Einen personenbezogenen Rückversichererbericht bitten wir bei dieser begrenzten Forderung nicht vorsorglich anzulegen.</w:t>
      </w:r>
    </w:p>
    <w:p>
      <w:r>
        <w:t>Mit freundlichen Grüßen</w:t>
        <w:br/>
        <w:t>Gertraud Holler</w:t>
        <w:br/>
        <w:t>Rechtsstelle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Zeisig – neue Deckungsunterlagen und konkrete Prüffragen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