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Kommunalversicherung Mainbogen VVaG, Kornfalterweg 6, 97076 Würzburg</w:t>
      </w:r>
    </w:p>
    <w:p>
      <w:r>
        <w:t>Stadt Würzburg, Rechtsstelle, Mainlaubplatz 1, 97070 Würzburg</w:t>
      </w:r>
    </w:p>
    <w:p>
      <w:r>
        <w:t>05.10.2026</w:t>
      </w:r>
    </w:p>
    <w:p>
      <w:pPr>
        <w:pStyle w:val="Title"/>
      </w:pPr>
      <w:r>
        <w:t>Zeisig – vorläufige Deckung und Abwehrführung</w:t>
      </w:r>
    </w:p>
    <w:p>
      <w:r>
        <w:t>Sehr geehrte Frau Holler,</w:t>
      </w:r>
    </w:p>
    <w:p>
      <w:r>
        <w:t>wir bestätigen Ihre heutige Nachmeldung unter der Schadennummer MB-W-26113. Der erfasste Vertrag umfasst gesetzliche Haftpflichtansprüche aus dem kommunalen Winterdienst mit einer Versicherungssumme von 5.000.000,00 EUR für Personen- und Sachschäden je Schadenereignis. Der vereinbarte Selbstbehalt beträgt 500,00 EUR; erforderliche Abwehrkosten werden nach dem uns vorliegenden Vertragsauszug außerhalb dieses Selbstbehalts behandelt. Das ist keine Entscheidung über die Berechtigung der Forderung von Frau Zeisig.</w:t>
      </w:r>
    </w:p>
    <w:p>
      <w:r>
        <w:t>Die späte Zuordnung der Vertragsunterlagen prüfen wir gesondert. Eine Leistungsfreiheit wird aus dem Datum Ihrer Meldung allein nicht abgeleitet. Bitte teilen Sie mit, wann die Vertragsverwaltung erstmals einen Versicherungsbezug erkannte, weshalb die Meldung unterblieb und ob dadurch eine konkrete Aufklärungsmöglichkeit verloren ging. Der Unfall vom Januar ist lange her; gerade deshalb sollten unveränderte ursprüngliche Unterlagen und erst jetzt entstandene Ergänzungen sauber unterschieden werden.</w:t>
      </w:r>
    </w:p>
    <w:p>
      <w:r>
        <w:t>Haftungsseitig sehen wir zwei getrennte Beweisfragen: War der Sturz noch auf der Fahrbahnquerung, und hätte eine zumutbare Reaktion auf die neue Meldung ihn verhindert? Die Zeugin kann zur eigenen Rutschbeobachtung etwas beitragen, aber die verdeckten Füße der Geschädigten nicht nachträglich sichtbar machen. Der verfügbaren Mannschaft kommt Bedeutung zu, ohne dass eine berechnete Ankunftszeit bereits den tatsächlichen Streuerfolg beweist. Bitte lassen Sie die Erinnerungen einzeln dokumentieren und nicht in einer gemeinsamen Formulierung angleichen.</w:t>
      </w:r>
    </w:p>
    <w:p>
      <w:r>
        <w:t>Wir setzen vorläufig eine Reserve von 3.200,00 EUR einschließlich Abwehrkosten. Unsere Vertragsakte sieht eine personenbezogene Rückdeckungsmeldung erst ab 250.000,00 EUR erwarteter Gesamtbelastung vor; der vorliegende Vorgang erreicht diese Schwelle nicht. Es gibt deshalb keinen Einzelfallbrief an einen Rückversicherer. Die Reserve und diese interne Einordnung sind gegenüber Frau Zeisig weder ein Anerkenntnis noch ein Kürzungsgrund.</w:t>
      </w:r>
    </w:p>
    <w:p>
      <w:r>
        <w:t>Bitte stimmen Sie den Antwortentwurf bis 8. Oktober mit uns ab. Ein Vergleich bedarf einer konkreten Beschlussvorlage mit Betrag und Abgeltungsumfang. Bei inzwischen ausgeheilten Beschwerden soll keine pauschale Abgeltung unbekannter Dauerschäden beiläufig in einen kurzen Zahlungsbrief geraten. Eine externe Erklärung ist mit diesem Schreiben noch nicht freigegeben.</w:t>
      </w:r>
    </w:p>
    <w:p>
      <w:r>
        <w:t>Mit freundlichen Grüßen</w:t>
        <w:br/>
        <w:t>Vitus Hasenwinkel</w:t>
        <w:br/>
        <w:t>Schadenreferent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Zeisig – vorläufige Deckung und Abwehrführung</dc:title>
  <dc:subject/>
  <dc:creator/>
  <cp:keywords/>
  <dc:description>generated by python-docx</dc:description>
  <cp:lastModifiedBy/>
  <cp:revision>1</cp:revision>
  <dcterms:created xsi:type="dcterms:W3CDTF">2026-10-01T09:00:00Z</dcterms:created>
  <dcterms:modified xsi:type="dcterms:W3CDTF">2026-10-01T09:00:00Z</dcterms:modified>
  <cp:category/>
</cp:coreProperties>
</file>