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Vier Monatsbudgets und Abzüge</w:t>
      </w:r>
    </w:p>
    <w:p>
      <w:pPr>
        <w:pStyle w:val="Heading1"/>
      </w:pPr>
      <w:r>
        <w:t>1 Anspruchszeitraum</w:t>
      </w:r>
    </w:p>
    <w:p>
      <w:r>
        <w:t>Naila Sauermilch verlangt ausschließlich den eigenen Nettoverdienstausfall vom 1. Mai bis 31. August 2026. Grundlage sind die Arbeitgeberbestätigung und die folgenden privaten Budgetangaben. Die Arbeitgeberin beziffert den entgangenen Nettoauszahlungsbetrag für jeden der vier Monate mit 2.860,00 EUR, zusammen 11.440,00 EUR. Für April und September wird kein Ausfall verlangt.</w:t>
      </w:r>
    </w:p>
    <w:p>
      <w:pPr>
        <w:pStyle w:val="Heading1"/>
      </w:pPr>
      <w:r>
        <w:t>2 Ersparnisse</w:t>
      </w:r>
    </w:p>
    <w:p>
      <w:r>
        <w:t>Das vorab angefragte kommunale Betreuungsmodell hätte monatlich 230,00 EUR Elternbeitrag gekostet; dieselbe Belastung gilt für den seit September genutzten Platz. Im Mai, Juni, Juli und August wurde kein Beitrag erhoben. Deshalb werden viermal 230,00 EUR, insgesamt 920,00 EUR, abgezogen. Verpflegungsbeiträge werden nicht angesetzt: Leni hätte sowohl zuhause als auch bei Betreuung essen müssen; ein darüber hinausgehender konkret ersparter Mehrbetrag ist nicht belegt.</w:t>
      </w:r>
    </w:p>
    <w:p>
      <w:r>
        <w:t>Die geplanten Arbeitsfahrten hätten gegenüber den tatsächlich zurückgelegten Privatfahrten nach der gemeinsamen Aufstellung 40,00 EUR monatliche zusätzliche Kraftstoff- und Parkkosten verursacht. Abgezogen werden viermal 40,00 EUR, insgesamt 160,00 EUR. Fixe Fahrzeugkosten bleiben in beiden Verläufen bestehen. Eine zusätzliche steuerliche Kilometerpauschale wird nicht noch einmal abgezogen.</w:t>
      </w:r>
    </w:p>
    <w:p>
      <w:pPr>
        <w:pStyle w:val="Heading1"/>
      </w:pPr>
      <w:r>
        <w:t>3 Monatliche Differenzen</w:t>
      </w:r>
    </w:p>
    <w:p>
      <w:r>
        <w:t>Für Mai ergibt sich 2.860,00 EUR abzüglich 230,00 EUR und 40,00 EUR, mithin 2.590,00 EUR. Für Juni, Juli und August gilt dieselbe Rechnung. Viermal 2.590,00 EUR ergibt 10.360,00 EUR. Die Addition enthält keine pauschale Entschädigung für familiären Stress und keine Bewertung der eigenen Kinderbetreuungsstunden.</w:t>
      </w:r>
    </w:p>
    <w:p>
      <w:pPr>
        <w:pStyle w:val="Heading1"/>
      </w:pPr>
      <w:r>
        <w:t>4 Weitere Geldbewegungen</w:t>
      </w:r>
    </w:p>
    <w:p>
      <w:r>
        <w:t>Das Elterngeld endete vor Mai. Die Familienkasse zahlte unverändert Kindergeld; es wäre auch bei rechtzeitiger Arbeitsaufnahme angefallen. Es gab für Mai bis August weder Arbeitslosengeld noch Ersatzlohn, Krankengeld oder Versicherungsleistungen. Eine am 4. Juni erteilte private Betreuungsanfrage führte mangels Kapazität zu keinem Vertrag und keiner Rechnung. Schadensersatz oder Vorschüsse sind bis 5. Oktober nicht eingegangen. Ein Darlehen von Anselms Vater finanzierte den Alltag; seine Rückzahlungspflicht wird nicht als zusätzliche Schadensposition geltend gemacht.</w:t>
      </w:r>
    </w:p>
    <w:p>
      <w:r>
        <w:t>Naila Sauermilch, mit Anselm Sauermilch abgeglichen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Vier Monatsbudgets und Abzüge</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