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 Dokumentation des Primärrechtsschutzes</w:t>
      </w:r>
    </w:p>
    <w:p>
      <w:r>
        <w:t>Rechtsanwältin Jolanda Knospenlaub, Zedernfächerweg 9, 97074 Würzburg</w:t>
      </w:r>
    </w:p>
    <w:p>
      <w:pPr>
        <w:pStyle w:val="Heading1"/>
      </w:pPr>
      <w:r>
        <w:t>1 Antrag und dokumentierter Versand</w:t>
      </w:r>
    </w:p>
    <w:p>
      <w:r>
        <w:t>Ich beantragte am 14. April 2026 im Namen der minderjährigen Leni Sauermilch, vertreten durch Naila und Anselm Sauermilch, beim Bayerischen Verwaltungsgericht Würzburg eine einstweilige Anordnung gegen den Landkreis Mainlaub. Der Antrag verlangte, ab 1. Mai bis zur Entscheidung über den Förderanspruch einen geeigneten Betreuungsplatz von Montag bis Freitag 07:45 bis 15:30 Uhr nachzuweisen. Der in der Kanzlei gespeicherte elektronische Versandbericht weist den erfolgreichen Eingang am 14. April um 15:06 Uhr aus. Der Bericht und das Antragsexemplar befinden sich in der Mandatsakte; dieses Blatt gibt den Ablauf wieder und ist kein gerichtlicher Eingangsstempel.</w:t>
      </w:r>
    </w:p>
    <w:p>
      <w:pPr>
        <w:pStyle w:val="Heading1"/>
      </w:pPr>
      <w:r>
        <w:t>2 Eilverfahren und Durchsetzung</w:t>
      </w:r>
    </w:p>
    <w:p>
      <w:r>
        <w:t>Nach dem Eingang der Stellungnahme des Landkreises am 21. April beantragte ich ausdrücklich, die Angelegenheit noch vor Ende April zu entscheiden. Am 28. April wurde dem Antrag nach der in der Kanzlei vorliegenden Entscheidung stattgegeben. Der Landkreis bestritt nicht den Förderanspruch, erklärte jedoch, einen verfügbaren Platz erst finden zu müssen. Ich forderte ihn am 29. April unter Hinweis auf die vollziehbare Anordnung zur Umsetzung auf. Am 5. Mai beantragte ich gerichtliche Vollstreckungsmaßnahmen, nachdem keine konkrete Einrichtung benannt worden war. Nach weiterer gerichtlicher Androhung teilte der Landkreis am 18. Mai weiterhin das Fehlen eines geeigneten Platzes mit. Weitere Umsetzungsaufforderungen erfolgten am 4. Juni und 2. Juli. Das Verfahren wurde nicht gegen eine Abfindung erledigt.</w:t>
      </w:r>
    </w:p>
    <w:p>
      <w:pPr>
        <w:pStyle w:val="Heading1"/>
      </w:pPr>
      <w:r>
        <w:t>3 Grenzen der Dokumentation</w:t>
      </w:r>
    </w:p>
    <w:p>
      <w:r>
        <w:t>Dieses Blatt ist eine anwaltliche Verlaufsbestätigung. Für eine gerichtliche Zivilklage sollen die konkret bezeichneten elektronischen Schriftsätze, Eingangsbestätigungen und Entscheidungen aus der Verwaltungsgerichtsakte beigezogen werden. Ein amtlich wirkender Beschluss wird nicht durch eine selbst gestaltete Abschrift ersetzt. Am 2. September erklärten die Beteiligten das Förderverfahren nach tatsächlicher Platzbereitstellung für erledigt. Die hier geltend gemachten Verdienstausfallschäden waren weder Gegenstand einer Zahlung noch einer abschließenden materiellen Einigung.</w:t>
      </w:r>
    </w:p>
    <w:p>
      <w:r>
        <w:t>Jolanda Knospenlaub, 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 Dokumentation des Primärrechtsschutzes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