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Deckungsblatt ML-JH-2026-116</w:t>
      </w:r>
    </w:p>
    <w:p>
      <w:r>
        <w:t>Kommunalversicherung Mainbogen VVaG – Sachbearbeiter Vitus Hasenwinkel</w:t>
      </w:r>
    </w:p>
    <w:p>
      <w:pPr>
        <w:pStyle w:val="Heading1"/>
      </w:pPr>
      <w:r>
        <w:t>1 Erfasster Vertrag</w:t>
      </w:r>
    </w:p>
    <w:p>
      <w:r>
        <w:t>Versicherungsnehmer ist der Landkreis Mainlaub. Der für 2026 erfasste Vertrag KM-ML-2026 umfasst gesetzliche Haftpflichtansprüche aus der Tätigkeit seines Jugendamts einschließlich reiner Vermögensschäden aus fahrlässiger Amtspflichtverletzung. Die Versicherungssumme hierfür beträgt 1.000.000,00 EUR je Schadenereignis. Der Selbstbehalt beträgt 1.000,00 EUR je Schadenereignis. Abwehrkosten fallen nach diesem Vertragsauszug außerhalb des Selbstbehalts an. Vorsätzliche Herbeiführung ist ausgeschlossen; die vorliegenden Unterlagen belegen bislang keine vorsätzliche Schadenszufügung. Die Deckungsprüfung ersetzt die Prüfung der gesetzlichen Haftung nicht.</w:t>
      </w:r>
    </w:p>
    <w:p>
      <w:pPr>
        <w:pStyle w:val="Heading1"/>
      </w:pPr>
      <w:r>
        <w:t>2 Meldung und Reserve</w:t>
      </w:r>
    </w:p>
    <w:p>
      <w:r>
        <w:t>Schadenmeldung des Landkreises am 30. September, ergänzt am 2. Oktober. Gefordert werden 10.360,00 EUR. Die Arbeitsreserve beträgt vorläufig 13.000,00 EUR, davon 10.360,00 EUR möglicher Hauptanspruch und 2.640,00 EUR geschätzte Abwehr- und Nebenkosten. Eine Arbeitsreserve stellt weder ein Anerkenntnis noch eine Zahlungsfreigabe dar. Sollte die Hauptforderung vollständig begründet sein, wären nach dem vereinbarten Selbstbehalt 1.000,00 EUR beim Landkreis und 9.360,00 EUR beim Versicherer abzurechnen. Der gesetzliche Anspruch der Mutter würde dadurch nicht auf zwei Gegner verteilt.</w:t>
      </w:r>
    </w:p>
    <w:p>
      <w:pPr>
        <w:pStyle w:val="Heading1"/>
      </w:pPr>
      <w:r>
        <w:t>3 Rückdeckung</w:t>
      </w:r>
    </w:p>
    <w:p>
      <w:r>
        <w:t>Der interne Rückdeckungsvermerk ordnet das Jugendamtsrisiko dem Jahresvertrag RB-2026 zu. Für diesen Vertrag ist eine Einzelmeldung ab einer erwarteten Gesamtbelastung von 250.000,00 EUR vorgesehen. Darunter erfolgt nur eine periodische Bestandsmeldung ohne personenbezogene Einzelfallunterlagen. Der Rückdeckungsanteil beginnt nach dem erfassten Vertragsauszug oberhalb einer Priorität von 500.000,00 EUR. Die bisherige Reserve erreicht weder Meldeschwelle noch Priorität. Deshalb wird zu Sauermilch kein personenbezogenes Schreiben an einen Rückversicherer erzeugt. Weitere ähnliche Ansprüche dürfen nicht ohne Prüfung einer einschlägigen Serienschadenklausel zusammengerechnet werden; eine solche Zusammenrechnung ist hier nicht festgestellt.</w:t>
      </w:r>
    </w:p>
    <w:p>
      <w:pPr>
        <w:pStyle w:val="Heading1"/>
      </w:pPr>
      <w:r>
        <w:t>4 Nächster Entscheidungspunkt</w:t>
      </w:r>
    </w:p>
    <w:p>
      <w:r>
        <w:t>Vor einer Zahlung müssen Reserveangebot, Eingangs- und Personalchronologie sowie die Gegenrechnung der Arbeitskosten geklärt werden. Die Familie erhält ihre Sachantwort vom Landkreis. Ein direkter Zahlungsanspruch gegen einen internen Ausgleichsverband oder Rückversicherer ergibt sich aus diesem Blatt nicht. Vitus Hasenwinkel führt die Deckungsakte; die rechtliche Entscheidung über das Anspruchsschreiben liegt weiterhin beim Landkreis.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Deckungsblatt ML-JH-2026-116</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