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Jolanda Knospenlaub, Zedernfächerweg 9, 97074 Würzburg</w:t>
      </w:r>
    </w:p>
    <w:p>
      <w:r>
        <w:t>Landkreis Mainlaub, Kreisrechtsstelle, Lindenquendelplatz 2, 97076 Würzburg</w:t>
      </w:r>
    </w:p>
    <w:p>
      <w:r>
        <w:t>24.09.2026</w:t>
      </w:r>
    </w:p>
    <w:p>
      <w:pPr>
        <w:pStyle w:val="Title"/>
      </w:pPr>
      <w:r>
        <w:t>Sauermilch gegen Landkreis Mainlaub – Verdienstausfall</w:t>
      </w:r>
    </w:p>
    <w:p>
      <w:r>
        <w:t>Sehr geehrte Frau Hopfenstiel,</w:t>
      </w:r>
    </w:p>
    <w:p>
      <w:r>
        <w:t>ich vertrete Frau Naila Sauermilch. Für den Zeitraum vom 1. Mai bis 31. August verlangt sie 10.360,00 EUR Ersatz ihres durch den fehlenden Betreuungsplatz verursachten Verdienstausfalls. Ich bitte um Zahlung bis 16. Oktober 2026. Die Forderung wird für die Mutter persönlich erhoben; das abgeschlossene Förderverfahren ihrer Tochter und dessen Kosten sind davon zu unterscheiden.</w:t>
      </w:r>
    </w:p>
    <w:p>
      <w:r>
        <w:t>Der Betreuungsbedarf war Ihrem Jugendamt seit 12. Januar bekannt. Trotz konkret benannter Arbeitszeiten wurde bis Ende August kein Platz nachgewiesen, der die Rückkehr an den Arbeitsplatz ermöglicht hätte. Meine Mandantin hatte sich weder auf Quendelzwerge festgelegt noch Kindertagespflege abgelehnt. Das Augustangebot umfasste nur drei Stunden an vier Tagen, dazu erhebliche Wege. Eine Ergänzung war nicht verfügbar. Die Arbeitgeberin hat nachvollziehbar erklärt, weshalb daraus keine sinnvolle Teilrückkehr entstehen konnte.</w:t>
      </w:r>
    </w:p>
    <w:p>
      <w:r>
        <w:t>Die Rechnung setzt bei viermal 2.860,00 EUR netto an und zieht 920,00 EUR ersparte Beiträge sowie 160,00 EUR ersparte Arbeitsfahrten ab. Eigenbetreuungszeit, Belastungsentschädigung und fiktive Kosten privater Betreuung werden nicht zusätzlich verlangt. Seit September arbeitet meine Mandantin wieder. Die Familienkasse hat keine ausfallbezogene Ersatzleistung erbracht; das unveränderte Kindergeld wird nicht als solcher Ersatz behandelt.</w:t>
      </w:r>
    </w:p>
    <w:p>
      <w:r>
        <w:t>Die Behauptung eines allgemeinen Fachkräftemangels genügt nicht zur Erklärung der konkreten Dezember- und Februarvorgänge. Bitte sichern Sie die Unterlagen zum Reserveangebot von Frau Schätzlein und den vollständigen Haushaltsumlauf. Die Gemeinde hat die rechtzeitige Anmeldung bereits bestätigt. Primärrechtsschutz wurde rechtzeitig beantragt und nach Erlass der Anordnung weiter betrieben. Eine Einwendung nach § 839 Abs. 3 BGB muss sich deshalb auf eine konkret unterlassene, erfolgversprechende Maßnahme beziehen.</w:t>
      </w:r>
    </w:p>
    <w:p>
      <w:r>
        <w:t>Wir sind zur Besprechung begründeter Einwendungen bereit. Ein Verzicht auf noch zu prüfende zusätzliche Steuerfolgen wird durch die gegenwärtige Bezifferung nicht erklärt. Die Forderung enthält solche Folgen aber auch nicht vorsorglich als pauschalen Aufschlag. Bitte antworten Sie direkt an meine Kanzlei und teilen Sie einen etwaigen Informationsbedarf zusammenhängend mit.</w:t>
      </w:r>
    </w:p>
    <w:p>
      <w:r>
        <w:t>Mit freundlichen Grüßen</w:t>
        <w:br/>
        <w:t>Jolanda Knospenlaub</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Sauermilch gegen Landkreis Mainlaub – Verdienstausfall</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