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Landkreis Mainlaub, Kreisrechtsstelle, Lindenquendelplatz 2, 97076 Würzburg</w:t>
      </w:r>
    </w:p>
    <w:p>
      <w:r>
        <w:t>Rechtsanwältin Jolanda Knospenlaub, Zedernfächerweg 9, 97074 Würzburg</w:t>
      </w:r>
    </w:p>
    <w:p>
      <w:r>
        <w:t>30.09.2026</w:t>
      </w:r>
    </w:p>
    <w:p>
      <w:pPr>
        <w:pStyle w:val="Title"/>
      </w:pPr>
      <w:r>
        <w:t>Ihre Forderung vom 24. September – laufende Prüfung</w:t>
      </w:r>
    </w:p>
    <w:p>
      <w:r>
        <w:t>Sehr geehrte Frau Knospenlaub,</w:t>
      </w:r>
    </w:p>
    <w:p>
      <w:r>
        <w:t>Ihr Schreiben ist am 25. September eingegangen. Wir prüfen die Forderung Ihrer Mandantin über 10.360,00 EUR. Eine Zahlung oder ein Anerkenntnis ist damit nicht verbunden. Die von Ihnen bis 16. Oktober gesetzte Frist ist vermerkt. Der Landkreis ist für das Jugendamt zuständig; wir verweisen die Familie nicht zur Anspruchsprüfung an die Gemeinde Quendelbrunn.</w:t>
      </w:r>
    </w:p>
    <w:p>
      <w:r>
        <w:t>Den rechtzeitigen Eingang der Anmeldung, die gerichtliche Inanspruchnahme und die Arbeitsaufnahme zum 1. September stellen wir nach dem bisherigen Aktenabgleich nicht in Abrede. Unterschiedlich beurteilen wir die Ursachen des fehlenden Platzes und die zumutbaren Überbrückungsmöglichkeiten. Zum Angebot Rosenhut erkennen wir, dass der angemeldete Bedarf nicht vollständig abgedeckt war. Wir möchten dennoch die schriftliche Arbeitgeberauskunft sehen, auf die Sie sich zur unmöglichen Teilrückkehr berufen. Eine zusätzliche Betreuung für Freitag oder die Randstunden haben wir nicht benannt; eine solche Möglichkeit behaupten wir heute auch nicht nachträglich.</w:t>
      </w:r>
    </w:p>
    <w:p>
      <w:r>
        <w:t>Das Reserveangebot von Frau Schätzlein wird derzeit mit der Jugendamts- und Haushaltsakte abgeglichen. Es darf nicht ohne ihre damaligen Personalunterlagen als sicher verfügbar behandelt werden. Umgekehrt werden wir die bekannte Verzögerung im Haushaltsumlauf nicht allein mit den erst im Juni eingetretenen Erkrankungen erklären. Die zeitlichen Zusammenhänge sind getrennt zu betrachten. Die Gemeinde haben wir um Erhaltung ihrer Personal- und Ausschreibungsunterlagen gebeten.</w:t>
      </w:r>
    </w:p>
    <w:p>
      <w:r>
        <w:t>Für die Berechnung bitten wir um eine Erläuterung, ob in den 2.860,00 EUR regelmäßige Sonderbestandteile enthalten sind und auf welcher Grundlage die Fahrtkostenersparnis angesetzt wurde. Die Übermittlung einer vollständigen privaten Kontoakte benötigen wir nicht. Ein geeigneter Arbeitgebernachweis und die auf diesen Anspruch beschränkte Budgetaufstellung reichen zunächst aus. Bitte informieren Sie uns, falls andere Stellen auf denselben Ausfall bereits Leistungen erbracht haben.</w:t>
      </w:r>
    </w:p>
    <w:p>
      <w:r>
        <w:t>Unser Kommunalversicherer erhält die zur Prüfung notwendigen Unterlagen. Über die gesetzliche Forderung Ihrer Mandantin antwortet weiterhin der Landkreis. Ob und in welcher Höhe ein Versicherer uns intern entlastet, ist keine Voraussetzung für die Bearbeitung Ihres Anspruchs.</w:t>
      </w:r>
    </w:p>
    <w:p>
      <w:r>
        <w:t>Mit freundlichen Grüßen</w:t>
        <w:br/>
        <w:t>Irmtraud Hopfenstiel</w:t>
        <w:br/>
        <w:t>Kreisrechtsrätin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Ihre Forderung vom 24. September – laufende Prüfung</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