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Kommunalversicherung Mainbogen VVaG, Schadenabteilung, Kornfalterweg 6, 97076 Würzburg</w:t>
      </w:r>
    </w:p>
    <w:p>
      <w:r>
        <w:t>Landkreis Mainlaub, Kreisrechtsstelle, Lindenquendelplatz 2, 97076 Würzburg</w:t>
      </w:r>
    </w:p>
    <w:p>
      <w:r>
        <w:t>05.10.2026</w:t>
      </w:r>
    </w:p>
    <w:p>
      <w:pPr>
        <w:pStyle w:val="Title"/>
      </w:pPr>
      <w:r>
        <w:t>ML-JH-116 – Entscheidungsvorbereitung und Abgrenzung</w:t>
      </w:r>
    </w:p>
    <w:p>
      <w:r>
        <w:t>Sehr geehrte Frau Hopfenstiel,</w:t>
      </w:r>
    </w:p>
    <w:p>
      <w:r>
        <w:t>nach dem bisherigen Aktenstand besteht ein erhebliches Haftungsrisiko. Der Landkreis kann sich nicht darauf beschränken, keinen eigenen freien Krippenplatz gehabt zu haben. Die konkrete Planung, das Reserveangebot und der Verlauf der Durchsetzung müssen gemeinsam bewertet werden. Eine abschließende Empfehlung über die vollständige Forderung von 10.360,00 EUR geben wir erst nach den ergänzenden Auskünften. Bitte legen Sie dieses Schreiben der Familie nicht als Zahlungszusage vor.</w:t>
      </w:r>
    </w:p>
    <w:p>
      <w:r>
        <w:t>Für die Personalchronologie ist die Dezembermeldung wesentlich. Wir bitten um eine kurze, von der Gemeinde freigegebene Darstellung, weshalb eine erst im Februar veröffentlichte Ausschreibung ausreichend gewesen sein soll. Daneben benötigen wir die Erklärung von Frau Schätzlein zur tatsächlich gesicherten Ersatzkraft und zum letztmöglichen Entscheidungstag. Eine später bekannt gewordene Erkrankung kann den früheren Bearbeitungsstillstand nicht rückwirkend erklären. Sollte es hierfür einen anderen dokumentierten Grund geben, gehört er in die Prüfung.</w:t>
      </w:r>
    </w:p>
    <w:p>
      <w:r>
        <w:t>Der Nettoansatz ist durch die Arbeitgeberbestätigung grundsätzlich prüfbar. Bitte gleichen Sie die Septemberabrechnung mit der hypothetischen Berechnung ab und klären Sie nur die für den Unterschied relevanten Merkmale. Die vollständige Krankheits- oder Personalgeschichte der Mutter ist nicht erforderlich. Die angeführten Ersparnisse sind sachgerecht als Abzüge zu untersuchen. Familienunterstützung ersetzt dagegen nicht ohne Weiteres das Gehalt; eine Darlehensaufnahme ist keine endgültige Ersatzleistung.</w:t>
      </w:r>
    </w:p>
    <w:p>
      <w:r>
        <w:t>Deckungsseitig haben wir eine Arbeitsreserve von 13.000,00 EUR eingerichtet. Die Rückdeckungspriorität von 500.000,00 EUR und die Einzelmeldeschwelle von 250.000,00 EUR werden deutlich unterschritten. Wir werden den Rückversicherer deshalb nicht mit einem personenbezogenen Einzelfallbericht beteiligen. Ihre Selbstbeteiligung von 1.000,00 EUR ändert den gesetzlichen Ersatzanspruch der Mutter nicht. Bei vollständiger Begründetheit bliebe der Mutter ein Anspruch gegen den Landkreis über den gesamten Betrag.</w:t>
      </w:r>
    </w:p>
    <w:p>
      <w:r>
        <w:t>Bitte geben Sie uns bis 12. Oktober die ergänzenden Informationen oder eine genaue Mitteilung, welche Unterlage noch fehlt. Danach können wir eine Vergleichsspanne mit den jeweiligen Beweisrisiken vorlegen. Ein Vergleich ohne belastbare Kenntnis der Reservekapazität würde gerade die entscheidende Frage offenlassen.</w:t>
      </w:r>
    </w:p>
    <w:p>
      <w:r>
        <w:t>Mit freundlichen Grüßen</w:t>
        <w:br/>
        <w:t>Vitus Hasenwinkel</w:t>
        <w:br/>
        <w:t>Schadenreferent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ML-JH-116 – Entscheidungsvorbereitung und Abgrenzung</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