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Sauermilch gegen Landkreis Mainlaub</w:t>
      </w:r>
    </w:p>
    <w:p>
      <w:r>
        <w:t>ENTWURF – NICHT EINGEREICHT</w:t>
      </w:r>
    </w:p>
    <w:p>
      <w:r>
        <w:t>An das Landgericht Würzburg</w:t>
        <w:br/>
        <w:t>Ottostraße 5, 97070 Würzburg</w:t>
      </w:r>
    </w:p>
    <w:p>
      <w:pPr>
        <w:pStyle w:val="Heading1"/>
      </w:pPr>
      <w:r>
        <w:t>1 Parteien und Anträge</w:t>
      </w:r>
    </w:p>
    <w:p>
      <w:r>
        <w:t>In dem Rechtsstreit der Naila Sauermilch, Quendelgasse 7, 97299 Quendelbrunn, Klägerin, Prozessbevollmächtigte Rechtsanwältin Jolanda Knospenlaub, Zedernfächerweg 9, 97074 Würzburg,</w:t>
      </w:r>
    </w:p>
    <w:p>
      <w:r>
        <w:t>gegen den Landkreis Mainlaub, vertreten durch Landrat Eberwin Rappel, Lindenquendelplatz 2, 97076 Würzburg, Beklagter,</w:t>
      </w:r>
    </w:p>
    <w:p>
      <w:r>
        <w:t>wird beantragt, den Beklagten zu verurteilen, an die Klägerin 10.360,00 EUR nebst Zinsen in Höhe von fünf Prozentpunkten über dem jeweiligen Basiszinssatz ab dem auf die Zustellung der Klage folgenden Tag zu zahlen und die Kosten des Rechtsstreits zu tragen.</w:t>
      </w:r>
    </w:p>
    <w:p>
      <w:r>
        <w:t>Der Streitwert beträgt 10.360,00 EUR. Für den Fall nicht rechtzeitiger Anzeige der Verteidigungsbereitschaft wird bei Vorliegen der gesetzlichen Voraussetzungen ein Versäumnisurteil im schriftlichen Vorverfahren beantragt. Die außergerichtliche Zahlungsfrist endet erst am 16. Oktober. Dieser Entwurf unterstellt weder ihren Ablauf noch eine Einreichung oder Zustellung. Vorgerichtliche Anwaltskosten, Kosten des Förderverfahrens, Zinsaufwendungen für Familiendarlehen und künftige Steuerfolgen sind nicht Gegenstand des Zahlungsantrags.</w:t>
      </w:r>
    </w:p>
    <w:p>
      <w:pPr>
        <w:pStyle w:val="Heading1"/>
      </w:pPr>
      <w:r>
        <w:t>2 Rechtsweg, Zuständigkeit und Anspruchsinhaberin</w:t>
      </w:r>
    </w:p>
    <w:p>
      <w:r>
        <w:t>Die Klägerin verlangt eigenen Verdienstausfall wegen der unterbliebenen Erfüllung des Förderanspruchs ihrer Tochter. Sie klagt nicht als Vertreterin des Kindes auf einen Betreuungsplatz. Für den Amtshaftungsanspruch ist nach Art. 34 Satz 3 GG der ordentliche Rechtsweg eröffnet. Das Landgericht ist gemäß § 71 Abs. 2 Nr. 2 GVG unabhängig vom Streitwert ausschließlich sachlich zuständig. Der Sitz des Beklagten und das für die Bearbeitung verantwortliche Jugendamt liegen in Würzburg; die örtliche Zuständigkeit folgt aus §§ 17, 32 ZPO.</w:t>
      </w:r>
    </w:p>
    <w:p>
      <w:r>
        <w:t>Der Beklagte ist nach Art. 15 AGSG örtlicher Träger der öffentlichen Jugendhilfe. Er handelt insoweit im eigenen Wirkungskreis. Die kreisangehörige Gemeinde Quendelbrunn betreibt eine Einrichtung und wirkt bei der Platzsuche mit; dies ersetzt die gesetzliche Verantwortung des Landkreises nicht. Anstellungskörperschaft der mit der Anspruchserfüllung befassten Jugendamtsbeschäftigten ist der Beklagte. Eine gesamtschuldnerische Haftung der Gemeinde wird mangels eines hierfür hinreichend aufgeklärten eigenständigen Anspruchs nicht mit eingeklagt.</w:t>
      </w:r>
    </w:p>
    <w:p>
      <w:pPr>
        <w:pStyle w:val="Heading1"/>
      </w:pPr>
      <w:r>
        <w:t>3 Bedarf und rechtzeitige Kenntnis</w:t>
      </w:r>
    </w:p>
    <w:p>
      <w:r>
        <w:t>Leni Sauermilch wurde am 24. April 2025 geboren. Sie lebt seit ihrer Geburt mit beiden sorgeberechtigten Eltern in Quendelbrunn im Zuständigkeitsbereich des Beklagten. Der unmittelbar an das Jugendamt gerichtete Antrag vom 12. Januar 2026 bezeichnete den Beginn 1. Mai und die Zeiten Montag bis Freitag 07:45 bis 15:30 Uhr. Die Klägerin erklärte darin ihren vertraglich vereinbarten Wiedereinstieg; der ebenfalls berufstätige Vater konnte die Betreuung zu diesen Zeiten nicht übernehmen. Die Eltern akzeptierten eine geeignete Kindertagespflege und beschränkten sich nicht auf eine Wunscheinrichtung.</w:t>
      </w:r>
    </w:p>
    <w:p>
      <w:r>
        <w:t>Beweis: Bedarfsanmeldung und Eingangsdokumentation, Anlage K1; Bestätigung der Gemeinde, Anlage K7; Zeugnis der Roswitha Knödel, zu laden über den Beklagten, und des Kunibert Quassel, zu laden über Gemeinde Quendelbrunn, Quendelplatz 1, 97299 Quendelbrunn. Zum gemeinsamen Wohnort und zur praktischen Betreuungssituation wird ergänzend das Zeugnis des Anselm Sauermilch unter der Klägeranschrift angeboten.</w:t>
      </w:r>
    </w:p>
    <w:p>
      <w:r>
        <w:t>Die Rückkehrvereinbarung vom 8. Dezember 2025 sah ab 1. Mai eine 30-Stunden-Woche vor Ort in Würzburg vor. Arbeitsbeginn war 08:30 Uhr, Arbeitsende 15:00 Uhr einschließlich einer halbstündigen unbezahlten Pause. Der beantragte Betreuungsumfang berücksichtigte Anfahrt und Übergaben. Ein bereits vereinbarter späterer Wiedereinstieg lag nicht vor. Das tatsächliche Ende der Betreuungslücke am 1. September führte sofort zur Arbeitsaufnahme.</w:t>
      </w:r>
    </w:p>
    <w:p>
      <w:r>
        <w:t>Beweis: Arbeitgeberbestätigung, Anlage K2; ergänzende Nachricht, Anlage K9; Zeugnis der Ottilie Wacker, Mainfaden Medizintechnik GmbH, Fadenlaubweg 14, 97076 Würzburg.</w:t>
      </w:r>
    </w:p>
    <w:p>
      <w:pPr>
        <w:pStyle w:val="Heading1"/>
      </w:pPr>
      <w:r>
        <w:t>4 Pflichtverletzung und konkrete Planung</w:t>
      </w:r>
    </w:p>
    <w:p>
      <w:r>
        <w:t>Leni hatte ab Vollendung ihres ersten Lebensjahres nach § 24 Abs. 2 SGB VIII Anspruch auf Förderung in einer Tageseinrichtung oder Kindertagespflege. Der zeitliche Umfang richtet sich über § 24 Abs. 2 Satz 2 nach dem individuellen Bedarf. Trotz der rechtzeitigen Anmeldung wurde für Mai bis August kein bedarfsdeckender Platz nachgewiesen. Eine bloße Liste bereits erfolglos kontaktierter Einrichtungen erfüllte den Anspruch nicht. Der Beklagte schuldete keinen Erfolg einer bestimmten pädagogischen Wunschgestaltung, wohl aber einen tatsächlich nutzbaren geeigneten Betreuungsplatz.</w:t>
      </w:r>
    </w:p>
    <w:p>
      <w:r>
        <w:t>Die Pflicht besteht nicht lediglich im Umfang vorhandener Kapazität. Die Eltern gehören zum geschützten Personenkreis; ihr betreuungsbedingter Erwerbsausfall kann ersatzfähig sein. Hierzu BGH, Urt. v. 20.10.2016 – Az. III ZR 278/15, BGHZ 212, 303, Rn. 17–19, 24–27 und 34–39; amtlicher Volltext: https://www.bundesgerichtshof.de/SharedDocs/Entscheidungen/DE/Zivilsenate/III_ZS/2015/III_ZR_278-15.pdf?__blob=publicationFile&amp;v=1. Die Aussage ersetzt nicht den Nachweis der einzelnen Haftungsvoraussetzungen im vorliegenden Fall.</w:t>
      </w:r>
    </w:p>
    <w:p>
      <w:r>
        <w:t>Die Akte zeigt konkrete Versäumnisse. Zwei Personalabgänge waren seit Dezember bekannt. Die Ausschreibung erfolgte erst am 15. Februar. Ein am 2. Februar angebotenes Reservekontingent von zwei Plätzen scheiterte nach der bisherigen Dokumentation daran, dass die fachlich am 10. Februar geprüfte Zuschussvorlage bis 27. März im Haushaltsumlauf blieb. Die dafür vorgesehene Ersatzkraft war dann anderweitig gebunden. Die erst im Juni aufgetretenen Erkrankungen erklären weder diese Verzögerung noch das bereits am 1. Mai bestehende Defizit.</w:t>
      </w:r>
    </w:p>
    <w:p>
      <w:r>
        <w:t>Beweis: Kapazitätsvermerk, Anlage K4; Gemeindeauskunft, Anlage K7; Zeugnis der Roswitha Knödel sowie der Walburga Schätzlein, Tagespflege Schätzlein, Lindenkapselweg 8, 97299 Quendelbrunn. Die konkret bezeichnete Zuschussvorlage und ihre Laufvermerke befinden sich beim Beklagten; ihre Vorlage gemäß § 142 ZPO wird angeregt. Ein unbestimmter Zugriff auf sämtliche Haushaltsakten wird nicht beantragt.</w:t>
      </w:r>
    </w:p>
    <w:p>
      <w:r>
        <w:t>Die Klägerin behauptet nicht, dass ihr gerade einer der beiden Reserveplätze zwingend zugewiesen worden wäre. Die Vorgänge belegen zunächst ein erhebliches Organisationsversäumnis und sind für die Entlastung erheblich. Für das Verschulden kommt der Beweis des ersten Anscheins in Betracht; der Beklagte kann ihn durch konkrete Tatsachen erschüttern. Eine verschuldensunabhängige Erfolgshaftung wird nicht geltend gemacht. Vgl. BGH, Urt. v. 20.10.2016 – Az. III ZR 278/15, a.a.O., Rn. 40–42.</w:t>
      </w:r>
    </w:p>
    <w:p>
      <w:pPr>
        <w:pStyle w:val="Heading1"/>
      </w:pPr>
      <w:r>
        <w:t>5 Augustangebot und Schadensminderung</w:t>
      </w:r>
    </w:p>
    <w:p>
      <w:r>
        <w:t>Am 12. August bot der Beklagte ab 17. August Betreuung nur montags bis donnerstags 09:00 bis 12:00 Uhr in der 42 Kilometer entfernten Stelle Rosenhut an. Freitag und Randzeiten blieben offen. Die Klägerin besprach eine Teilrückkehr sofort mit der Arbeitgeberin und fragte nach ergänzender Betreuung. Die Arbeitgeberin konnte für das nach Hin- und Rückfahrt verbleibende Zeitfenster von weniger als zwei Stunden keine sinnvolle Tätigkeit anbieten. Eine zweite Betreuung konnte der Beklagte nicht benennen. Das Angebot war somit kein Ersatz für den angemeldeten Tagesbedarf.</w:t>
      </w:r>
    </w:p>
    <w:p>
      <w:r>
        <w:t>Beweis: Betreuungsprotokoll, Anlage K5; konkretes Angebot, Anlage K8; Arbeitgeberergänzung, Anlage K9; Zeugnis der Ottilie Wacker und der Roswitha Knödel. Die Klägerin lehnt Kindertagespflege nicht grundsätzlich ab. Maßgeblich sind die nachgewiesenen Zeiten und Wege, nicht eine abstrakte Entfernungspauschale. Nach § 254 BGB ist eine wirtschaftlich sinnvolle Teilnutzung zu prüfen; sie bestand hier nach dem aktuellen Belegstand nicht.</w:t>
      </w:r>
    </w:p>
    <w:p>
      <w:r>
        <w:t>Die Familie fragte mehrere Einrichtungen und eine private Vermittlung an. Es gab keinen tatsächlich verfügbaren privaten Ganztagsplatz, den sie allein wegen seines Preises abgelehnt hätte. Anselm arbeitete zu den benötigten Zeiten; eine dauerhafte Schichtänderung wurde nicht angeboten. Die Großeltern konnten keine verlässliche tägliche Betreuung übernehmen. Die Klägerin beantragte ihre unbezahlte Freistellung mit einer kurzfristigen Rückkehrmöglichkeit. Sie schuf daher keine selbständige Bindung an eine unnötig lange Erwerbspause.</w:t>
      </w:r>
    </w:p>
    <w:p>
      <w:pPr>
        <w:pStyle w:val="Heading1"/>
      </w:pPr>
      <w:r>
        <w:t>6 Primärrechtsschutz und weitere Ersatzmöglichkeiten</w:t>
      </w:r>
    </w:p>
    <w:p>
      <w:r>
        <w:t>Der Förderanspruch wurde am 14. April im Namen des Kindes im Eilverfahren geltend gemacht. Nach der stattgebenden Entscheidung vom 28. April folgten die Umsetzungsaufforderung vom 29. April, der Vollstreckungsantrag vom 5. Mai und weitere Durchsetzungsaufforderungen. Der Landkreis stellte trotzdem erst ab September eine geeignete Betreuung bereit. Die Klägerin hat den Eintritt des Ausfalls nicht lediglich abgewartet.</w:t>
      </w:r>
    </w:p>
    <w:p>
      <w:r>
        <w:t>Beweis: Anwaltliche Verlaufsdokumentation, Anlage K6; Beiziehung der dort konkret bezeichneten Verwaltungsgerichtsakte und der elektronischen Eingangsberichte. Der Beklagte kann das von ihm selbst geführte Eilverfahren anhand von Beteiligten, Antragstag und Entscheidungstag eindeutig zuordnen. Das Dokument K6 ist keine amtliche Urkunde über den Inhalt einer Entscheidung. Die Klägerin bietet die Originalverfahrensunterlagen zum Beweis des tatsächlichen Ablaufs an.</w:t>
      </w:r>
    </w:p>
    <w:p>
      <w:r>
        <w:t>Ein Einwand nach § 839 Abs. 3 BGB erfordert eine konkret schuldhaft unterlassene geeignete Maßnahme und deren Schadensvermeidungswirkung. Zur erforderlichen Einzelfallprüfung vgl. OLG Brandenburg, Beschl. v. 20.02.2024 – Az. 2 W 3/24, amtlicher Volltext, Gründe unter 2 c: https://gerichtsentscheidungen.brandenburg.de/gerichtsentscheidung/24287. Die dortige Entscheidung im Prozesskostenhilfeverfahren ersetzt keine Sachentscheidung hier; insbesondere wird das dort zusätzlich angewandte Staatshaftungsgesetz nicht auf Bayern übertragen.</w:t>
      </w:r>
    </w:p>
    <w:p>
      <w:r>
        <w:t>Ein anderweitiger durchsetzbarer Ersatzanspruch im Sinne von § 839 Abs. 1 Satz 2 BGB besteht nach dem gegenwärtigen Sachstand nicht. Die Arbeitgeberin schuldete während der vereinbarten unbezahlten Freistellung kein Entgelt. Ein privater Betreuungsvertrag mit einem schadensersatzpflichtigen Anbieter wurde nicht geschlossen. Familiendarlehen sind rückzahlbar und ersetzen keinen Schaden endgültig. Erhielte die Klägerin später eine auf denselben Ausfall bezogene Ersatzleistung, wäre diese offenzulegen und anzurechnen, soweit rechtlich geboten.</w:t>
      </w:r>
    </w:p>
    <w:p>
      <w:pPr>
        <w:pStyle w:val="Heading1"/>
      </w:pPr>
      <w:r>
        <w:t>7 Ursächlichkeit und bezifferter Schaden</w:t>
      </w:r>
    </w:p>
    <w:p>
      <w:r>
        <w:t>Bei rechtzeitiger Betreuung hätte die Klägerin die konkret vereinbarte Arbeit ab 1. Mai aufgenommen. Die Arbeitgeberin hatte Arbeit und Vergütung bereitgehalten. Eine Vertretung verhinderte die Rückkehr nicht. Der tatsächliche Beginn am 1. September stützt diese Prognose. Dass die Klägerin nicht arbeitete, beruhte auf der Betreuungslücke; eine Krankheit, Kündigung oder davon unabhängige private Erwerbspause ist nicht ersichtlich. Dies ist nach §§ 249, 252 BGB und § 287 ZPO anhand der konkreten Beschäftigungstatsachen zu bewerten.</w:t>
      </w:r>
    </w:p>
    <w:p>
      <w:r>
        <w:t>Vier Monatsauszahlungen von jeweils 2.860,00 EUR ergeben 11.440,00 EUR. Davon werden vier ersparte Betreuungsbeiträge von je 230,00 EUR, zusammen 920,00 EUR, sowie viermal 40,00 EUR zusätzliche Arbeitsfahrtkosten, zusammen 160,00 EUR, abgezogen. Es verbleiben 10.360,00 EUR, entsprechend 2.590,00 EUR für jeden der vier Monate. Die Anspruchssumme verteilt sich damit eindeutig auf Mai, Juni, Juli und August; sie ist kein unbestimmter Teilbetrag aus verschiedenen Forderungen.</w:t>
      </w:r>
    </w:p>
    <w:p>
      <w:r>
        <w:t>Beweis: Berechnung und Budgetangaben, Anlage K3; Arbeitgeberunterlagen, Anlagen K2 und K9; Zeugnis der Ottilie Wacker zum Lohnlauf und des Anselm Sauermilch zu den tatsächlichen Haushaltsausgaben. Die Septemberabrechnung dient der Kontrolle des unveränderten Nettoansatzes. Zusätzliche Steuerfolgen einer späteren Ersatzleistung werden derzeit nicht hochgerechnet. Ersparte variable Kosten werden abgezogen; ohnehin weiterlaufende fixe Haushaltskosten werden nicht noch einmal als Schaden verlangt.</w:t>
      </w:r>
    </w:p>
    <w:p>
      <w:r>
        <w:t>Elterngeld endete vor dem Anspruchszeitraum. Ausfallbezogene Sozialleistungen und Versicherungszahlungen gab es nicht. Unverändertes Kindergeld wäre in beiden Verläufen angefallen. Der Betrag enthält weder Bruttosozialbeiträge noch fiktive Ersatzbetreuungskosten neben dem Nettoverdienstausfall. Kosten des Kindes oder hypothetische Genugtuung für die Familie sind nicht Gegenstand der Klage.</w:t>
      </w:r>
    </w:p>
    <w:p>
      <w:pPr>
        <w:pStyle w:val="Heading1"/>
      </w:pPr>
      <w:r>
        <w:t>8 Vorverfahren, Zinsen und Schluss</w:t>
      </w:r>
    </w:p>
    <w:p>
      <w:r>
        <w:t>Mit Schreiben vom 24. September, eingegangen am 25. September, wurde die Zahlung bis 16. Oktober verlangt, Anlage K10. Der Beklagte kündigte am 30. September weitere Prüfungen an und erhob Einwendungen zu Organisation und Schadensminderung, Anlage K11. Diese werden mit der vorliegenden konkreten Chronologie beantwortet. Eine Zahlung ist nicht erfolgt. Prozesszinsen werden gemäß §§ 291, 288 Abs. 1 BGB erst ab dem Tag nach tatsächlicher Zustellung beantragt.</w:t>
      </w:r>
    </w:p>
    <w:p>
      <w:r>
        <w:t>Die interne Deckung des Beklagten begrenzt den gesetzlichen Anspruch der Klägerin nicht. Weder Selbstbehalt noch Rückdeckungspriorität sind gegen sie einzuwenden. Ein Versicherer, ein Ausgleichsverband oder ein Rückversicherer wird nicht ohne eigenständige Anspruchsgrundlage verklagt. Die Klägerin bleibt zu einer Einigung auf der Grundlage der belegten Monatsdifferenzen und konkret benannter Beweisrisiken bereit.</w:t>
      </w:r>
    </w:p>
    <w:p>
      <w:r>
        <w:t>Jolanda Knospenlaub</w:t>
        <w:br/>
        <w:t>Rechtsanwältin</w:t>
        <w:br/>
        <w:t>Entwurfsfassung ohne Unterschrift und ohne Einreichung</w:t>
      </w:r>
    </w:p>
    <w:p>
      <w:pPr>
        <w:pStyle w:val="Heading1"/>
      </w:pPr>
      <w:r>
        <w:t>9. Anlagenverzeichnis</w:t>
      </w:r>
    </w:p>
    <w:p>
      <w:r>
        <w:t>K1: Bedarf ab 01.05.2026, Familienangaben und dokumentierter Zugang beim Jugendamt</w:t>
        <w:br/>
        <w:t>Datei: kommunikation-und-deckung/01_Bedarfsanmeldung.docx</w:t>
      </w:r>
    </w:p>
    <w:p>
      <w:r>
        <w:t>K2: Vereinbarter Wiedereinstieg, Entgelt und unbezahlte Freistellung</w:t>
        <w:br/>
        <w:t>Datei: kommunikation-und-deckung/02_Arbeitgeberbestaetigung.docx</w:t>
      </w:r>
    </w:p>
    <w:p>
      <w:r>
        <w:t>K3: Monatliche Nettoberechnung einschließlich ersparter Betreuung und Fahrten</w:t>
        <w:br/>
        <w:t>Datei: kommunikation-und-deckung/03_Schadensrechnung.docx</w:t>
      </w:r>
    </w:p>
    <w:p>
      <w:r>
        <w:t>K4: Planungsstand, zwei Personalabgänge und nicht beschiedene Reserve</w:t>
        <w:br/>
        <w:t>Datei: kommunikation-und-deckung/04_Kapazitaetsvermerk.docx</w:t>
      </w:r>
    </w:p>
    <w:p>
      <w:r>
        <w:t>K5: Konkrete Alternativen und nicht bedarfsdeckendes Augustangebot</w:t>
        <w:br/>
        <w:t>Datei: kommunikation-und-deckung/05_Betreuungssuche.docx</w:t>
      </w:r>
    </w:p>
    <w:p>
      <w:r>
        <w:t>K6: Anwaltliche Dokumentation des Eilantrags und weiterer Maßnahmen</w:t>
        <w:br/>
        <w:t>Datei: kommunikation-und-deckung/06_Eilrechtsschutz_Dokumentation.docx</w:t>
      </w:r>
    </w:p>
    <w:p>
      <w:r>
        <w:t>K7: Gemeinde bestätigt Anmeldung und offene Stellen</w:t>
        <w:br/>
        <w:t>Datei: kommunikation-und-deckung/08_Gemeinde_an_Jugendamt.eml</w:t>
      </w:r>
    </w:p>
    <w:p>
      <w:r>
        <w:t>K8: Inhalt und zeitliche Grenzen des Tagespflegeangebots</w:t>
        <w:br/>
        <w:t>Datei: kommunikation-und-deckung/09_Augustangebot.eml</w:t>
      </w:r>
    </w:p>
    <w:p>
      <w:r>
        <w:t>K9: Tatsächlicher Arbeitsbeginn und fehlende Ausweichmöglichkeit</w:t>
        <w:br/>
        <w:t>Datei: kommunikation-und-deckung/10_Arbeitgeber_Ergaenzung.eml</w:t>
      </w:r>
    </w:p>
    <w:p>
      <w:r>
        <w:t>K10: Zahlungsaufforderung mit Zugang und Fristsetzung</w:t>
        <w:br/>
        <w:t>Datei: kommunikation-und-deckung/13_Anspruchsschreiben.pdf</w:t>
      </w:r>
    </w:p>
    <w:p>
      <w:r>
        <w:t>K11: Einwendungen des Landkreises und noch offene Prüfung</w:t>
        <w:br/>
        <w:t>Datei: kommunikation-und-deckung/14_Landkreis_Stellungnahme.pdf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Sauermilch gegen Landkreis Mainlaub</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