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Straßenbestandsauszug und Vereinbarung zur Baumkontrolle</w:t>
      </w:r>
    </w:p>
    <w:p>
      <w:r>
        <w:t>1. Straßenbestand</w:t>
      </w:r>
    </w:p>
    <w:p>
      <w:r>
        <w:t>Der vom Straßenbauamt am 1. Juli 2026 bestätigte Bestandsauszug ordnet den gesamten Abschnitt 120 der ML 17 dem Landkreis Mainleiten als Straßenbaulastträger zu. Kilometer 2,340 liegt außerhalb der festgesetzten Ortsdurchfahrt. Baum 226 steht auf dem zum Straßengrund gehörenden Seitenstreifen, nicht im angrenzenden Privatwald. Eigentümer des Straßengrundstücks und des Baums ist der Landkreis. Der Auszug enthält keine Übertragung der Baulast auf die Gemeinde Apfelried.</w:t>
      </w:r>
    </w:p>
    <w:p>
      <w:r>
        <w:t>2. Vereinbarung vom 18. Dezember 2025</w:t>
      </w:r>
    </w:p>
    <w:p>
      <w:r>
        <w:t>Der Landkreis Mainleiten, vertreten durch Landrätin Selma Hasenbein, und die Gemeinde Apfelried, vertreten durch Bürgermeister Ignaz Schnabel, vereinbaren für 2026 privatrechtliche Kontrollleistungen. Der Gemeindebauhof führt die beauftragten Sichtkontrollen nach fachlicher Unterweisung aus und dokumentiert konkrete Auffälligkeiten baumbezogen. Besondere Hinweise sind unverzüglich an das zentrale Postfach des Kreisstraßenbauamts zu melden. Die Vergütung beträgt 12.000 EUR jährlich. Eine hoheitliche Aufgabenübertragung oder eine Änderung der Straßenbaulast ist nicht vereinbart.</w:t>
      </w:r>
    </w:p>
    <w:p>
      <w:r>
        <w:t>Der Landkreis behält die Entscheidung über vertiefte Untersuchungen, Verkehrsabsicherung und Fällungen. Er kontrolliert jeden Werktag den Eingang der Warnmeldungen, legt für auffällige Bäume eine dokumentierte Bearbeitungsfrist fest und prüft die Erledigung. Die Gemeinde darf bei unmittelbar erkennbarer Gefahr den Straßenbauhof telefonisch alarmieren und den Gefahrenbereich vorläufig sichern, soweit ihre Mittel dafür ausreichen. Sie entscheidet nicht über eine dauerhafte Verkehrsbeschränkung.</w:t>
      </w:r>
    </w:p>
    <w:p>
      <w:r>
        <w:t>3. Haftung im Innenverhältnis</w:t>
      </w:r>
    </w:p>
    <w:p>
      <w:r>
        <w:t>Jede Körperschaft trägt die Folgen eigener schuldhafter Vertragsverletzungen nach den gesetzlichen Regeln. Eine verschuldensunabhängige Freistellung des Landkreises oder ein Verzicht auf Ansprüche verletzter Dritter wird nicht vereinbart. Bei mehreren Ursachen bleiben Kausalität und Verantwortungsanteile gesondert aufzuklären. Beide Seiten erhalten die Unterlagen der jeweils anderen Seite, soweit dies für die konkrete Schadenbearbeitung erforderlich und rechtlich zulässig ist.</w:t>
      </w:r>
    </w:p>
    <w:p>
      <w:r>
        <w:t>Der Auszug wurde von Ernestine Rübenacker und Ignaz Schnabel am 1. Juli 2026 als vollständig für diese Zuständigkeits- und Kontrollregelungen bestätigt. Er enthält keine Versicherungsbedingungen.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Straßenbestandsauszug und Vereinbarung zur Baumkontrolle</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