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Baum 226: Vorbefund, Auftrag und Untersuchung nach dem Ereignis</w:t>
      </w:r>
    </w:p>
    <w:p>
      <w:r>
        <w:t>1. Kontrollnotiz vom 20. Juli 2026</w:t>
      </w:r>
    </w:p>
    <w:p>
      <w:r>
        <w:t>Gemeindemitarbeiterin Roswitha Yilmaz untersuchte Baum 226 am 20. Juli vom Boden aus. Am Stammfuß sah sie einen breiten alten Rindenschaden, dunkle weiche Stellen und zwei seitlich austretende Pilzfruchtkörper. In der Krone befand sich ein auffällig dünn belaubter Bereich. Sie schrieb: „Standfestigkeit nicht aus bloßer Sichtkontrolle zuverlässig beurteilbar; zeitnahe fachkundige Wurzelstockprüfung veranlassen.“ Eine konkrete Pilzart bestimmte sie nicht. Die Beobachtung wurde am selben Tag mit der Baumkennung an das zentrale Postfach des Kreisstraßenbauamts versandt. Zeugin: Roswitha Yilmaz, Gemeindebauhof, Mühlbogen 3, Apfelried.</w:t>
      </w:r>
    </w:p>
    <w:p>
      <w:r>
        <w:t>2. Bearbeitungsstand des Landkreises</w:t>
      </w:r>
    </w:p>
    <w:p>
      <w:r>
        <w:t>Das Eingangsjournal bestätigt den Eingang am 20. Juli um 14:08 Uhr. Am 21. Juli legte Sachbearbeiter Hanno Brösel den Auftrag U-226 an. Im Feld „Erledigung“ steht seit 30. Juli „an Unternehmer gegeben“. Ein Untersuchungsbericht, ein Termin oder eine Empfangsbestätigung des Unternehmers ist nicht verknüpft. Das Straßenbauamt teilte am 27. August mit, dass kein Untersuchungsauftrag das Haus verlassen hatte. Der Status war durch Übernahme eines Entwurfstextes gesetzt worden. Eine Straßenabsicherung bis zur Prüfung wurde nicht veranlasst.</w:t>
      </w:r>
    </w:p>
    <w:p>
      <w:r>
        <w:t>3. Untersuchung vom 24. August</w:t>
      </w:r>
    </w:p>
    <w:p>
      <w:r>
        <w:t>Baumsachverständige Dr. Selin Heller untersuchte den gesicherten Wurzelstock und die Stammteile. Die tragenden Wurzelansätze wiesen ausgedehnte ältere Fäulnis auf; an mehreren Stellen ließ sich Holz mit einem stumpfen Prüfgerät ohne erheblichen Druck ablösen. Das Bruchbild passt zu einem Verlust der Standfestigkeit aus diesem Bereich. Die bei der Kontrolle beschriebenen äußeren Schäden waren fachlich geeignet, eine vertiefte Untersuchung auszulösen. Eine solche Untersuchung hätte nach ihrer Einschätzung den erheblichen Standfestigkeitsmangel mit hoher Wahrscheinlichkeit erkannt. Sie hält bei diesem Befund eine kurzfristige Sperrung des Fallbereichs bis zur fachgerechten Entfernung für erforderlich.</w:t>
      </w:r>
    </w:p>
    <w:p>
      <w:r>
        <w:t>4. Aussagegrenzen</w:t>
      </w:r>
    </w:p>
    <w:p>
      <w:r>
        <w:t>Die Sachverständige hat den stehenden Baum nicht selbst gesehen und stützt ihre zeitliche Einordnung zusätzlich auf die Kontrollnotiz. Die genaue Entwicklung einzelner Fäulniszonen zwischen 20. Juli und 17. August lässt sich nach dem Bruch nicht millimetergenau rekonstruieren. Ihr Befund ist ein von der Klägerin beauftragtes Privatgutachten, kein gerichtliches Sachverständigengutachten. Ladungsanschrift: Baumlabor Heller, Werkbogen 9, 97080 Würzburg. Unterschrieben am 2. September 2026, Dr. Selin Heller.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Baum 226: Vorbefund, Auftrag und Untersuchung nach dem Ereignis</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