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Behandlung, gegenwärtige Einschränkungen und Prognose</w:t>
      </w:r>
    </w:p>
    <w:p>
      <w:r>
        <w:t>1. Behandlung</w:t>
      </w:r>
    </w:p>
    <w:p>
      <w:r>
        <w:t>Wunibaldine Seifert, geboren am 11. Mai 1981, erlitt am 17. August 2026 eine instabile Fraktur des ersten Lendenwirbelkörpers mit inkompletter neurologischer Schädigung sowie eine Fraktur des rechten Unterarms. Noch am Unfalltag erfolgten Dekompression und Stabilisierung der Wirbelsäule, am 19. August die operative Versorgung des Unterarms. Die stationäre Akutbehandlung dauerte bis 4. September, anschließend erfolgte stationäre Rehabilitation bis 25. September. Diese Daten ergeben sich aus dem für diese Akte zusammengefassten Entlassungsbericht der fiktiven Unfallklinik Mainbogen.</w:t>
      </w:r>
    </w:p>
    <w:p>
      <w:r>
        <w:t>2. Zustand am 28. September</w:t>
      </w:r>
    </w:p>
    <w:p>
      <w:r>
        <w:t>Die Patientin kann kurze Strecken mit zwei Unterarmgehstützen und Begleitung zurücklegen. Auf längeren Wegen benötigt sie einen Rollstuhl. Sie berichtet tägliche Schmerzen im Rücken und eine rasche Erschöpfbarkeit. Treppensteigen und das Tragen von Lasten sind derzeit nicht möglich. Der rechte Arm darf noch nicht voll belastet werden. Eine dauerhafte vollständige Querschnittlähmung wird nicht diagnostiziert. Die weitere neurologische Erholung lässt sich zu diesem frühen Zeitpunkt nicht zuverlässig vorhersagen.</w:t>
      </w:r>
    </w:p>
    <w:p>
      <w:r>
        <w:t>3. Haushalt und weitere Behandlung</w:t>
      </w:r>
    </w:p>
    <w:p>
      <w:r>
        <w:t>Die Patientin lebt mit ihrem Ehemann Friedrich Seifert und der neunjährigen Tochter in einer 95-Quadratmeter-Wohnung. Sie benötigt vorerst Unterstützung bei Körperpflege, Transfers, Einkäufen und Haushaltsarbeiten. Ein barrierearmer Umbau und weitere Hilfsmittel werden geprüft, sind aber noch nicht bestellt. Kontrollen der Wirbelsäulenstabilisierung sind erforderlich. Eine spätere Materialentfernung und weitere Rehabilitation sind möglich; ihre konkrete Notwendigkeit und ihr Zeitpunkt stehen noch nicht fest. Die Ärztin befürwortet eine erneute Bedarfsbewertung nach drei Monaten.</w:t>
      </w:r>
    </w:p>
    <w:p>
      <w:r>
        <w:t>4. Abrechnung und Aussageumfang</w:t>
      </w:r>
    </w:p>
    <w:p>
      <w:r>
        <w:t>Krankenhaus- und Rehabilitationsleistungen wurden mit der gesetzlichen Krankenversicherung abgerechnet. Die Bescheinigung bewertet keinen rechtlichen Anspruch und keinen Kapitalwert. Sie enthält keine Aussage, dass jede angegebene Haushaltshilfestunde medizinisch erforderlich gewesen sei. Hierzu müssen Tätigkeiten und verbleibende Eigenleistungen zugeordnet werden. Verantwortliche Ärztin: Dr. Marlene Vogel, Unfallklinik Mainbogen, Klinikring 12, 97080 Würzburg. Für ein gerichtliches Verfahren ist sie nach Schweigepflichtentbindung als sachverständige Zeugin benannt; ein unabhängiges medizinisches Gutachten bleibt möglich.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Behandlung, gegenwärtige Einschränkungen und Prognose</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