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Bezahlte Aufwendungen, Fahrzeugschaden und Leistungen Dritter</w:t>
      </w:r>
    </w:p>
    <w:p>
      <w:r>
        <w:t>1. Haushaltshilfe</w:t>
      </w:r>
    </w:p>
    <w:p>
      <w:r>
        <w:t>Die Klägerin bezahlte am 29. September die Rechnung HH-260926 der Haushaltsdienste Hermine &amp; Helfer, Leiterin Hermine Daubner, Rosenquergasse 20, Würzburg. Die Rechnung umfasst 140 Stunden zu 25 EUR einschließlich aller Entgeltbestandteile, insgesamt 3.500 EUR. Davon entfallen im Zeitraum 18. August bis 25. September 98 Stunden auf Küche, Wäsche und Reinigung im bisherigen eigenen Aufgabenbereich der Klägerin sowie 42 Stunden auf Einkauf und schulbezogene Alltagsversorgung der Tochter, die ebenfalls zuvor von der Klägerin übernommen wurden. Der Ehemann erbrachte daneben seine unveränderten eigenen Haushaltsanteile. Seine zusätzliche unentgeltliche Hilfe wird nicht in dieser Rechnung angesetzt. Arbeitslisten und Zahlungsbestätigung sind Bestandteile dieser zusammengefassten Belegurkunde.</w:t>
      </w:r>
    </w:p>
    <w:p>
      <w:r>
        <w:t>2. Erforderliche Fahrten</w:t>
      </w:r>
    </w:p>
    <w:p>
      <w:r>
        <w:t>Bezahlte Beförderungskosten von 480 EUR betreffen vier Fahrten der Klägerin zu ärztlich angeordneten ambulanten Untersuchungen am 8., 15., 22. und 28. September zu je 120 EUR. Die erste Fahrt erfolgte aus der Rehabilitation, die letzte aus der Wohnung. Das Angebot umfasste die notwendige Begleitunterstützung beim Ein- und Aussteigen. Familienbesuche und Fahrten des Ehemanns sind nicht enthalten. Rechnungsstellerin: Mainbogen Mobilität GmbH, Fahrtberichte MM-0908 bis MM-0928. Die Klägerin bezahlte gesammelt am 30. September.</w:t>
      </w:r>
    </w:p>
    <w:p>
      <w:r>
        <w:t>3. Fahrzeug</w:t>
      </w:r>
    </w:p>
    <w:p>
      <w:r>
        <w:t>Der eigene Pkw der Klägerin erlitt Totalschaden. Der im Gutachten vom 25. August ermittelte Wiederbeschaffungswert beträgt 19.800 EUR. Nach dem dort dokumentierten regionalen Privatmarkt fällt bei der Ersatzbeschaffung keine gesondert ausweisbare Umsatzsteuer an. Ein verbindliches Restwertangebot über 1.600 EUR wurde am 3. September angenommen; die Zahlung ist eingegangen. Verlangt werden deshalb 18.200 EUR Fahrzeugschaden. Die bezahlte Rechnung für die Bergung am Unfalltag beträgt 550 EUR. Nutzungsausfall, Mietwagen, eine Pauschale und Gutachterkosten werden in der vorbereiteten Klage nicht verlangt. Fahrzeug-Sachverständiger: Leopold Nowak, Prüfbogen 4, Würzburg. Eine Kaskoversicherung bestand nicht.</w:t>
      </w:r>
    </w:p>
    <w:p>
      <w:r>
        <w:t>4. Abgleich</w:t>
      </w:r>
    </w:p>
    <w:p>
      <w:r>
        <w:t>Die Summe der bezifferten eigenen Positionen lautet 3.500 EUR + 480 EUR + 18.200 EUR + 550 EUR = 22.730 EUR. Die Krankenkasse Mainbogen hat am 1. Oktober nach Prüfung der vier Fahrten und des Hilfezeitraums bestätigt, hierfür weder Leistungen erbracht zu haben noch nach ihren Leistungsentscheidungen erbringen zu müssen. Die Krankenhaus- und Rehabilitationskosten bleiben dagegen vollständig außerhalb der Klage. Die für dieses Übungsszenario beigefügte Bescheidzusammenfassung wurde von der Klägerin am 2. Oktober bestätigt; eine darüber hinausgehende Aussage über zukünftige Ansprüche nach § 116 SGB X ist damit nicht verbunden. Weitere Erstattungen, Abtretungen oder Zahlungen auf die 22.730 EUR liegen nach ihrer Erklärung nicht vor.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Bezahlte Aufwendungen, Fahrzeugschaden und Leistungen Dritter</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