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Vorgangsspezifischer Vertrags- und Rückversicherungsstand</w:t>
      </w:r>
    </w:p>
    <w:p>
      <w:r>
        <w:t>1. Erstversicherung</w:t>
      </w:r>
    </w:p>
    <w:p>
      <w:r>
        <w:t>Für die synthetische Vertragsübung bestätigt Frankenbogen Kommunalversicherung VVaG dem Landkreis Mainleiten den Vertrag KH-ML-2026 für den Zeitraum 1. Januar bis 31. Dezember 2026. Versichert sind gesetzliche Haftpflichtansprüche aus der Kreisstraßenverwaltung einschließlich der Baumkontrolle. Die Versicherungssumme beträgt 10.000.000 EUR je Ereignis; sie ist für den Vorgang frei verfügbar. Der Landkreis trägt 5.000 EUR Selbstbehalt je Ereignis, nicht je einzelne Anspruchsposition. Frankenbogen organisiert Anspruchsabwehr und Regulierung; der Landkreis darf ohne Abstimmung keine Vergleichszusage auf Kosten des Versicherers abgeben. Gegenüber der Verletzten bleiben die gesetzlichen Ansprüche ungekürzt.</w:t>
      </w:r>
    </w:p>
    <w:p>
      <w:r>
        <w:t>2. Gesonderte Rückversicherung des Erstversicherers</w:t>
      </w:r>
    </w:p>
    <w:p>
      <w:r>
        <w:t>Frankenbogen hält bei Auenfels Rückversicherung AG für diese Übung einen direkten, ereignisbezogenen Exzedentenvertrag. Nach dieser gesetzten Einzelvereinbarung beträgt die Priorität 1.000.000 EUR des von Frankenbogen tatsächlich getragenen entschädigungsfähigen Nettoschadens nach Abzug des kommunalen Selbstbehalts. Darüber folgt ein Limit von 4.000.000 EUR. Gesonderte Rechtsverfolgungs- und Regulierungskosten sind in diesem Modell nicht Teil der Bezugsgröße. Die Deckung für diesen Ereignisjahrgang wird von Auenfels bestätigt; eine Haftungsanerkennung gegenüber der Verletzten folgt daraus nicht.</w:t>
      </w:r>
    </w:p>
    <w:p>
      <w:r>
        <w:t>3. Meldung und Abrechnung</w:t>
      </w:r>
    </w:p>
    <w:p>
      <w:r>
        <w:t>Sobald Frankenbogen einen entschädigungsfähigen Nettoschaden oberhalb von 750.000 EUR erwarten muss, übersendet es eine Vorabmeldung mit Sachverhalt, Reservebegründung und Belegen. Oberhalb der Priorität liegende Zahlungen werden nach Nachweis abgerechnet. Vergleichsvorschläge oberhalb einer erwarteten Nettobelastung von 1.000.000 EUR sind vorher zur Abstimmung vorzulegen. Die Anmeldung einer Reserve erzeugt keine bereits fällige Rückversicherungsforderung. Auenfels zahlt ausschließlich an Frankenbogen. Es besteht in diesem Vorgang kein Vertrag der Verletzten und kein Zahlungsweg über den Landkreis zu Auenfels.</w:t>
      </w:r>
    </w:p>
    <w:p>
      <w:r>
        <w:t>4. Eigenständigkeit des Szenarios</w:t>
      </w:r>
    </w:p>
    <w:p>
      <w:r>
        <w:t>Diese frei gesetzten Modellbedingungen bilden keine realen AKHA-Verträge oder Marktbedingungen ab. Anders als im gesonderten Fall Nora Winter wird hier kein Mitgliederselbstbehalt einer Ausgleichsebene eingeschoben. Eine dort verwendete Priorität von 10.000.000 EUR darf nicht in diese Akte übernommen werden. Bestätigung des Modellstands: Hannes Fink für Frankenbogen, Adelheid Sturm für Auenfels, 30. September 2026.</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Vorgangsspezifischer Vertrags- und Rückversicherungsstand</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