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Landkreis Mainleiten · Rechtsamt</w:t>
        <w:br/>
        <w:t>Ernestine Rübenacker · Kreisplatz 3 · 97070 Würzburg</w:t>
      </w:r>
    </w:p>
    <w:p>
      <w:r>
        <w:t>Gemeinde Apfelried</w:t>
        <w:br/>
        <w:t>Herrn Bürgermeister Ignaz Schnabel · Rathausbogen 1 · 97299 Apfelried</w:t>
      </w:r>
    </w:p>
    <w:p>
      <w:r>
        <w:t>04.09.2026</w:t>
      </w:r>
    </w:p>
    <w:p>
      <w:pPr>
        <w:pStyle w:val="Title"/>
      </w:pPr>
      <w:r>
        <w:t>Baum 226 – Stellungnahme zum Kontrollauftrag</w:t>
      </w:r>
    </w:p>
    <w:p>
      <w:r>
        <w:t>Sehr geehrter Herr Schnabel,</w:t>
      </w:r>
    </w:p>
    <w:p>
      <w:r>
        <w:t>wir bestätigen den Eingang der Warnmeldung Ihrer Mitarbeiterin am 20. Juli um 14:08 Uhr. Die Kreisstraße ML 17 einschließlich des Seitenstreifens steht im betroffenen Abschnitt in unserer Baulast. Der privatrechtliche Kontrollvertrag ändert diese Zuordnung nicht. Der Schadensfall wird deshalb nicht mit dem bloßen Hinweis auf die von Ihnen ausgeführten Sichtkontrollen an die Gemeinde abgegeben.</w:t>
      </w:r>
    </w:p>
    <w:p>
      <w:r>
        <w:t>Unsere technische Abteilung hat festgestellt, dass der Eintrag „an Unternehmer gegeben“ keinen ausgeführten Versand belegt. Nach dem derzeitigen Stand wurde ein Entwurf vorbereitet, der Auftrag jedoch nicht abgesandt. Es ist auch keine vertiefte Untersuchung dokumentiert. Wir prüfen, weshalb die Erledigungskontrolle diesen Widerspruch nicht aufgriff. Herr Brösel wird zu seinen Arbeitsschritten getrennt befragt. Seine Erinnerung soll nicht in das alte Kontrollblatt eingetragen werden.</w:t>
      </w:r>
    </w:p>
    <w:p>
      <w:r>
        <w:t>Offen bleibt, ob Ihre Mitarbeiterin angesichts der von ihr beschriebenen Auffälligkeiten zusätzlich unmittelbar hätte alarmieren müssen. Wir machen damit keinen bereits bezifferten Erstattungsanspruch geltend. Bitte übermitteln Sie die damalige fachliche Unterweisung und die gemeindliche Vertretungsregel für dringende Baumhinweise bis zum 11. September. Unsere eigenen Unterlagen zur Postfachvertretung stellen wir Ihnen im Gegenzug zur Verfügung.</w:t>
      </w:r>
    </w:p>
    <w:p>
      <w:r>
        <w:t>Frau Seifert erhält eine eigene Antwort, sobald ihre Bevollmächtigte die Forderungen und den Behandlungsstand übermittelt hat. Wir werden sie nicht auf interne Abstimmungen zwischen den Körperschaften verweisen. Eine Anerkennung der Haftung oder einer Quote wird durch diesen organisatorischen Zwischenstand nicht erklärt. Unser Versicherer wurde mit dem tatsächlichen Eingang der Warnung und dem unvollständigen Auftrag befasst; es wird keine bereinigte Chronologie verwendet.</w:t>
      </w:r>
    </w:p>
    <w:p>
      <w:r>
        <w:t>Mit freundlichen Grüßen</w:t>
        <w:br/>
        <w:t>Ernestine Rübenacker</w:t>
        <w:br/>
        <w:t>Für den Landkreis Mainleiten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Baum 226 – Stellungnahme zum Kontrollauftrag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