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Frankenbogen Kommunalversicherung VVaG</w:t>
        <w:br/>
        <w:t>Gundula Pfennig · Versicherungsbogen 8 · 97080 Würzburg</w:t>
      </w:r>
    </w:p>
    <w:p>
      <w:r>
        <w:t>Landkreis Mainleiten · Rechtsamt</w:t>
        <w:br/>
        <w:t>Frau Ernestine Rübenacker · Kreisplatz 3 · 97070 Würzburg</w:t>
      </w:r>
    </w:p>
    <w:p>
      <w:r>
        <w:t>30.09.2026</w:t>
      </w:r>
    </w:p>
    <w:p>
      <w:pPr>
        <w:pStyle w:val="Title"/>
      </w:pPr>
      <w:r>
        <w:t>Seifert – begründete Großschadenreserve und Unterlagenbedarf</w:t>
      </w:r>
    </w:p>
    <w:p>
      <w:r>
        <w:t>Sehr geehrte Frau Rübenacker,</w:t>
      </w:r>
    </w:p>
    <w:p>
      <w:r>
        <w:t>auf Grundlage des Vertragsstands vom heutigen Tag führen wir den Vorgang als gedeckten Haftpflichtfall, dessen Haftungsgrund und Höhe weiter zu prüfen sind. Der Selbstbehalt des Landkreises beträgt einmalig 5.000 EUR je Ereignis. Er wird nicht von jeder Forderung der Verletzten abgezogen. Eine Einigung über eine Zahlung an Frau Seifert ist bislang nicht erfolgt.</w:t>
      </w:r>
    </w:p>
    <w:p>
      <w:r>
        <w:t>Unsere Bruttoreserve beträgt zunächst 1.350.000 EUR. Darin sehen wir 120.000 EUR als internen Bewertungsansatz für den immateriellen Schaden, 30.000 EUR für bisherige eigene materielle Ansprüche, 900.000 EUR für mögliche spätere Pflege-, Haushaltsführungs- und Erwerbsfolgen sowie 300.000 EUR für denkbare Trägerregresse vor. Diese Ansätze sind vorsichtig gesetzte Reserven und weder behauptete Schadensbeträge der Verletzten noch ein Vergleichsangebot. Die laufende medizinische Entwicklung kann sie erheblich verändern. Der bezifferte Eigenaufwand von 22.730 EUR darf nicht zusätzlich zu den hierfür bereits reservierten 30.000 EUR aufgeschlagen werden.</w:t>
      </w:r>
    </w:p>
    <w:p>
      <w:r>
        <w:t>Für die spätere Bedarfsbewertung benötigen wir eine konkrete Tätigkeitsaufstellung, die Belastbarkeit der rechten Hand und eine abgestimmte Übersicht zu Drittleistungen. Bitte fordern Sie keine pauschale lebenslange Haushaltsrente aus einer allgemeinen Diagnose ab. Die gegenwärtige Rechnung der Haushaltshilfe betrifft einen geschlossenen Zeitraum; künftige Bedarfe sind ein eigener Prüfungsschritt.</w:t>
      </w:r>
    </w:p>
    <w:p>
      <w:r>
        <w:t>Rechnerisch ergibt die Reserve nach dem kommunalen Selbstbehalt eine vorläufige eigene Nettobelastung von 1.345.000 EUR. Bei unverändertem Modell würde die obere Schicht daraus 345.000 EUR erreichen. Wir melden deshalb vorsorglich an Auenfels. Dies ist keine aktuelle Erstattungsforderung: Es fehlt schon an einer entschädigungsfähigen Zahlung. Die anwaltlichen Bearbeitungskosten führen wir gesondert. Wir bitten um Ihre ausdrückliche Bestätigung, dass die bisherigen Unterlagen weder ein Anerkenntnis noch eine Zusage gegenüber der Gemeinde enthalten.</w:t>
      </w:r>
    </w:p>
    <w:p>
      <w:r>
        <w:t>Mit freundlichen Grüßen</w:t>
        <w:br/>
        <w:t>Gundula Pfennig</w:t>
        <w:br/>
        <w:t>Schadenbearbeitung</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00" w:after="12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Seifert – begründete Großschadenreserve und Unterlagenbedarf</dc:title>
  <dc:subject/>
  <dc:creator/>
  <cp:keywords/>
  <dc:description>generated by python-docx</dc:description>
  <cp:lastModifiedBy/>
  <cp:revision>1</cp:revision>
  <dcterms:created xsi:type="dcterms:W3CDTF">2026-10-01T09:00:00Z</dcterms:created>
  <dcterms:modified xsi:type="dcterms:W3CDTF">2026-10-01T09:00:00Z</dcterms:modified>
  <cp:category/>
</cp:coreProperties>
</file>