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Auenfels Rückversicherung AG</w:t>
        <w:br/>
        <w:t>Adelheid Sturm · Kontorbogen 11 · 60313 Frankfurt am Main</w:t>
      </w:r>
    </w:p>
    <w:p>
      <w:r>
        <w:t>Frankenbogen Kommunalversicherung VVaG</w:t>
        <w:br/>
        <w:t>Herrn Hannes Fink · Versicherungsbogen 8 · 97080 Würzburg</w:t>
      </w:r>
    </w:p>
    <w:p>
      <w:r>
        <w:t>02.10.2026</w:t>
      </w:r>
    </w:p>
    <w:p>
      <w:pPr>
        <w:pStyle w:val="Title"/>
      </w:pPr>
      <w:r>
        <w:t>Eingangsbestätigung und Abrechnungsanforderungen ML17-226</w:t>
      </w:r>
    </w:p>
    <w:p>
      <w:r>
        <w:t>Sehr geehrter Herr Fink,</w:t>
      </w:r>
    </w:p>
    <w:p>
      <w:r>
        <w:t>wir bestätigen die Vorabmeldung vom 1. Oktober für das im Vertragsstand vom 30. September beschriebene Ereignis. Die darin vereinbarte Anmeldeschwelle von 750.000 EUR erwarteter Nettobelastung ist nach Ihrem Reserveansatz erreicht. Die Rechnung 1.350.000 EUR abzüglich 5.000 EUR kommunalem Selbstbehalt abzüglich 1.000.000 EUR Priorität ergibt 345.000 EUR. Sie ist als Szenariorechnung nachvollziehbar. Eine Abrechnung oder Zahlungsfreigabe über diese Summe liegt damit nicht vor.</w:t>
      </w:r>
    </w:p>
    <w:p>
      <w:r>
        <w:t>Für eine spätere Erstattung benötigen wir die haftungsrechtliche Bewertung einschließlich der Meldung vom 20. Juli, eine getrennte Liste eigener Ansprüche der Verletzten und übergegangener Ansprüche sowie die tatsächlich ausgeführten Entschädigungszahlungen. Der nachgewiesene Betrag ist um den vereinbarten Selbstbehalt und anrechenbare Rückflüsse zu bereinigen; gesonderte Regulierungskosten gehören nach diesem Modell nicht zur Schicht. Bitte führen Sie den gleichen Aufwand nicht zugleich als Haushaltsführungsschaden, Pflegebedarf und Trägerregress.</w:t>
      </w:r>
    </w:p>
    <w:p>
      <w:r>
        <w:t>Vor einem Vergleich, durch den Ihre erwartete Nettobelastung 1.000.000 EUR übersteigt, bitten wir um die vertraglich vereinbarte Abstimmung. Das lässt Ihre Aufgabe, berechtigte Ansprüche gegenüber der Verletzten ordnungsgemäß zu bearbeiten, unberührt. Eine Ablehnung wegen noch fehlender Rückversicherungsunterlagen wäre keine Antwort auf deren Haftungsanspruch. Der Landkreis erhält aus unserem Vertrag keinen unmittelbaren Zahlungsanspruch; mit Frau Seifert nehmen wir nicht Kontakt auf.</w:t>
      </w:r>
    </w:p>
    <w:p>
      <w:r>
        <w:t>Bitte aktualisieren Sie die Reserve nach der nächsten neurologischen Verlaufskontrolle. Eine bloße Multiplikation heutiger Hilfestunden mit der statistischen Restlebensdauer reicht für einen Vergleichsvorschlag nicht. Wir erwarten vielmehr benannte Prognoseannahmen und eine Abgrenzung zwischen sicherem bisherigem Aufwand, möglichen weiteren Schäden und bewusst offenbleibenden Positionen. Bis dahin bleibt die Meldung in unserem System vorgemerkt; eine Forderung ist nicht zur Auszahlung gebucht.</w:t>
      </w:r>
    </w:p>
    <w:p>
      <w:r>
        <w:t>Mit freundlichen Grüßen</w:t>
        <w:br/>
        <w:t>Adelheid Sturm</w:t>
        <w:br/>
        <w:t>Schaden Rückversicherung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Eingangsbestätigung und Abrechnungsanforderungen ML17-226</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