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Rechtsanwältin Leona Ehlers</w:t>
        <w:br/>
        <w:t>Kanzlei Ehlers · Rechtsbogen 4 · 97070 Würzburg</w:t>
      </w:r>
    </w:p>
    <w:p>
      <w:r>
        <w:t>Landkreis Mainleiten · Rechtsamt</w:t>
        <w:br/>
        <w:t>Frau Ernestine Rübenacker · Kreisplatz 3 · 97070 Würzburg</w:t>
      </w:r>
    </w:p>
    <w:p>
      <w:r>
        <w:t>02.10.2026</w:t>
      </w:r>
    </w:p>
    <w:p>
      <w:pPr>
        <w:pStyle w:val="Title"/>
      </w:pPr>
      <w:r>
        <w:t>Seifert gegen Landkreis Mainleiten – Personenschaden ML 17</w:t>
      </w:r>
    </w:p>
    <w:p>
      <w:r>
        <w:t>Sehr geehrte Frau Rübenacker,</w:t>
      </w:r>
    </w:p>
    <w:p>
      <w:r>
        <w:t>ich vertrete ausschließlich Frau Wunibaldine Seifert. Wir machen Ansprüche aus dem Baumunfall vom 17. August geltend. Ihre eigene Auskunft bestätigt, dass die konkrete Warnung des Gemeindebauhofs am 20. Juli einging und bis zum Unfall keine vertiefte Untersuchung beauftragt wurde. Meine Mandantin verlangt keine Garantie gegen jeden natürlichen Astbruch. Maßgeblich sind die bei diesem Baum dokumentierten Auffälligkeiten und die unterbliebene Reaktion hierauf.</w:t>
      </w:r>
    </w:p>
    <w:p>
      <w:r>
        <w:t>Die bereits bezahlten beziehungsweise abschließend abgrenzbaren eigenen materiellen Schäden betragen 22.730 EUR. Darin enthalten sind 3.500 EUR Haushaltshilfe, 480 EUR erforderliche Beförderungskosten, 18.200 EUR Fahrzeugschaden nach Restwertabzug und 550 EUR Bergung. Die zusammengefasste Belegurkunde erläutert Zeiträume, Drittleistungen und die tatsächlich ausgeführten Zahlungen. Krankenhaus- und Rehabilitationskosten werden nicht für meine Mandantin verlangt. Eine Kaskoleistung ist nicht erfolgt.</w:t>
      </w:r>
    </w:p>
    <w:p>
      <w:r>
        <w:t>Daneben fordern wir ein angemessenes Schmerzensgeld, das wir nach dem derzeitigen Verlauf mit wenigstens 90.000 EUR bewerten. Die Höhe bleibt einer Gesamtschau einschließlich der im maßgeblichen Entscheidungszeitpunkt vorhersehbaren Folgen vorbehalten. Es handelt sich nicht um einen gesonderten Betrag für die ersten sechs Wochen. Für weitere eigene materielle Schäden bitten wir um Anerkennung der Ersatzpflicht unter ausdrücklichem Ausschluss übergegangener Ansprüche Dritter.</w:t>
      </w:r>
    </w:p>
    <w:p>
      <w:r>
        <w:t>Bitte teilen Sie uns bis 12. Oktober mit, ob eine außergerichtliche Regulierung möglich ist, und leisten Sie auf die bezifferten materiellen Ansprüche bis 16. Oktober. Ihre internen Vertrags- oder Rückversicherungsfragen sind nicht Voraussetzung dafür, sich zu den gesetzlichen Ansprüchen zu erklären. Die medizinische Entwicklung wird weiter dokumentiert. Eine Klage ist noch nicht eingereicht; der vorbereitete Entwurf soll erst nach einer Entscheidung meiner Mandantin verwendet werden. Mit diesem Schreiben werden weder unbekannte Schäden abgefunden noch Versicherer als zusätzliche Anspruchsgegner benannt.</w:t>
      </w:r>
    </w:p>
    <w:p>
      <w:r>
        <w:t>Mit freundlichen Grüßen</w:t>
        <w:br/>
        <w:t>Leona Ehlers</w:t>
        <w:br/>
        <w:t>Rechtsanwältin</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2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Seifert gegen Landkreis Mainleiten – Personenschaden ML 17</dc:title>
  <dc:subject/>
  <dc:creator/>
  <cp:keywords/>
  <dc:description>generated by python-docx</dc:description>
  <cp:lastModifiedBy/>
  <cp:revision>1</cp:revision>
  <dcterms:created xsi:type="dcterms:W3CDTF">2026-10-01T09:00:00Z</dcterms:created>
  <dcterms:modified xsi:type="dcterms:W3CDTF">2026-10-01T09:00:00Z</dcterms:modified>
  <cp:category/>
</cp:coreProperties>
</file>