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Seifert gegen Landkreis Mainleiten</w:t>
      </w:r>
    </w:p>
    <w:p>
      <w:r>
        <w:t>ENTWURF – nicht eingereicht</w:t>
      </w:r>
    </w:p>
    <w:p>
      <w:r>
        <w:t>An das Landgericht Würzburg, Zivilabteilung, Ottostraße 5, 97070 Würzburg</w:t>
      </w:r>
    </w:p>
    <w:p>
      <w:r>
        <w:t>Wunibaldine Seifert, Rosenquergasse 7, 97074 Würzburg, Klägerin,</w:t>
        <w:br/>
        <w:t>Prozessbevollmächtigte: Rechtsanwältin Leona Ehlers, Rechtsbogen 4, 97070 Würzburg,</w:t>
        <w:br/>
        <w:t>gegen Landkreis Mainleiten, vertreten durch Landrätin Selma Hasenbein, Kreisplatz 3, 97070 Würzburg, Beklagter.</w:t>
      </w:r>
    </w:p>
    <w:p>
      <w:pPr>
        <w:pStyle w:val="Heading1"/>
      </w:pPr>
      <w:r>
        <w:t>1. Anträge</w:t>
      </w:r>
    </w:p>
    <w:p>
      <w:r>
        <w:t>Namens der Klägerin wird beantragt:</w:t>
      </w:r>
    </w:p>
    <w:p>
      <w:r>
        <w:t>1.1. Den Beklagten zu verurteilen, an die Klägerin ein angemessenes Schmerzensgeld aus dem Unfall vom 17. August 2026 auf der Kreisstraße ML 17, Abschnitt 120, Kilometer 2,340, zu zahlen, dessen Höhe in das Ermessen des Gerichts gestellt wird, wobei die Klägerin nach dem gegenwärtigen Sachstand mindestens 90.000 EUR für angemessen hält, nebst Zinsen in Höhe von fünf Prozentpunkten über dem jeweiligen Basiszinssatz seit dem Tag nach Zustellung der Klage.</w:t>
      </w:r>
    </w:p>
    <w:p>
      <w:r>
        <w:t>1.2. Den Beklagten zu verurteilen, an die Klägerin 22.730 EUR nebst Zinsen in Höhe von fünf Prozentpunkten über dem jeweiligen Basiszinssatz seit dem Tag nach Zustellung der Klage zu zahlen.</w:t>
      </w:r>
    </w:p>
    <w:p>
      <w:r>
        <w:t>1.3. Festzustellen, dass der Beklagte verpflichtet ist, der Klägerin sämtliche weiteren bereits entstandenen und künftig entstehenden materiellen Schäden aus dem in Antrag 1.1 bezeichneten Unfall zu ersetzen, soweit sie nicht bereits Gegenstand des bezifferten Zahlungsantrags 1.2 sind und die Ansprüche nicht auf Sozialversicherungsträger oder andere Dritte übergegangen sind oder übergehen.</w:t>
      </w:r>
    </w:p>
    <w:p>
      <w:r>
        <w:t>1.4. Dem Beklagten die Kosten des Rechtsstreits aufzuerlegen.</w:t>
      </w:r>
    </w:p>
    <w:p>
      <w:r>
        <w:t>Der vorläufige Streitwert wird mit 192.730 EUR angegeben: 90.000 EUR als Schmerzensgeldorientierung, 22.730 EUR Zahlungsantrag und vorläufig 80.000 EUR für das Feststellungsinteresse. Die Bewertung des Feststellungsantrags ist eine prozessuale Schätzung und kein beantragtes Pflegekapital. Das Gericht wird um Bestimmung nach § 3 ZPO gebeten. Die Klägerin beantragt das schriftliche Vorverfahren. Ein Versäumnisurteil wird für den Fall der gesetzlichen Voraussetzungen nach wirksamer Zustellung und Fristablauf beantragt.</w:t>
      </w:r>
    </w:p>
    <w:p>
      <w:pPr>
        <w:pStyle w:val="Heading1"/>
      </w:pPr>
      <w:r>
        <w:t>2. Zuständigkeit und Gegenstand</w:t>
      </w:r>
    </w:p>
    <w:p>
      <w:r>
        <w:t>Gegenstand ist ein Amtshaftungsanspruch aus § 839 Abs. 1 BGB in Verbindung mit Art. 34 GG. § 71 Abs. 2 Nr. 2 GVG weist ihn dem Landgericht unabhängig von der Höhe der geltend gemachten Beträge zu. Die örtliche Zuständigkeit folgt aus §§ 12, 17 und 32 ZPO. Sitz des Beklagten und Ereignisort liegen nach dem für diesen fiktiven Fall gesetzten Zuständigkeitszuschnitt im Landgerichtsbezirk Würzburg. Die öffentlichen Straßen der Übungskörperschaft liegen in Bayern.</w:t>
      </w:r>
    </w:p>
    <w:p>
      <w:r>
        <w:t>Die Klägerin ist die verletzte Fahrerin und Eigentümerin des beschädigten Pkw. Sie macht ausschließlich eigene Ansprüche geltend. Ein Versicherer wird nicht mitverklagt. Es besteht kein Vertrag der Klägerin mit dem Beklagten, der Gemeinde oder deren Versicherern. Der privatrechtliche Kontrollvertrag regelt das Innenverhältnis der Körperschaften und wird als Beleg der Aufgabenverteilung vorgelegt, nicht als eigener Zahlungsanspruch der Klägerin.</w:t>
      </w:r>
    </w:p>
    <w:p>
      <w:pPr>
        <w:pStyle w:val="Heading1"/>
      </w:pPr>
      <w:r>
        <w:t>3. Straßenbaulast und konkrete Warnung</w:t>
      </w:r>
    </w:p>
    <w:p>
      <w:r>
        <w:t>Der Baum stand im Seitenstreifen der gewidmeten Kreisstraße außerhalb der Ortsdurchfahrt. Der Bestandsauszug benennt den Beklagten als Baulastträger und Eigentümer. Nach Art. 41 Satz 1 Nr. 2 BayStrWG liegt die Baulast für Kreisstraßen grundsätzlich bei den Landkreisen und kreisfreien Gemeinden. Eine abweichende Übertragung ist hier nicht erfolgt. Die Beauftragung der Gemeinde mit Sichtkontrollen lässt die Baulast gemäß Art. 44 Abs. 2 Satz 1 BayStrWG unberührt. Beweis: Bestands- und Vertragsauszug, Anlage K2.</w:t>
      </w:r>
    </w:p>
    <w:p>
      <w:r>
        <w:t>Der Beklagte hatte sich die Entscheidung über vertiefte Untersuchungen, die Verarbeitung der Warnmeldungen und die Erledigungskontrolle ausdrücklich vorbehalten. Am 20. Juli stellte die Gemeindemitarbeiterin Roswitha Yilmaz am Baum 226 Rindenschäden, weiche dunkle Stellen und Pilzfruchtkörper fest. Sie verlangte eine zeitnahe fachkundige Prüfung der Standfestigkeit. Ihre Nachricht ging nach dem eigenen Journal des Beklagten um 14:08 Uhr ein. Beweis: Anlage K3, ergänzende Nachricht Anlage K6; Zeugnis Roswitha Yilmaz, Gemeindebauhof, Mühlbogen 3, 97299 Apfelried.</w:t>
      </w:r>
    </w:p>
    <w:p>
      <w:r>
        <w:t>Die Fachprüfung wurde nicht beauftragt. Der Vermerk „an Unternehmer gegeben“ beruhte nach Auskunft des Straßenbauamts auf einem übernommenen Entwurfstext. Eine Empfangsbestätigung, ein Untersuchungsergebnis und eine Absicherung gab es nicht. Der Beklagte hat den Eingang der Warnung und diesen Ablauf im Schreiben vom 4. September bestätigt. Beweis: Anlage K7; Zeugnis Hanno Brösel, zu laden über den Beklagten, Straßenbauamt, Kreisplatz 3.</w:t>
      </w:r>
    </w:p>
    <w:p>
      <w:pPr>
        <w:pStyle w:val="Heading1"/>
      </w:pPr>
      <w:r>
        <w:t>4. Unfall und Ursächlichkeit</w:t>
      </w:r>
    </w:p>
    <w:p>
      <w:r>
        <w:t>Am 17. August um 16:42 Uhr kippte der Baum über die Fahrbahn und traf das Dach des dort fahrenden Pkw. Der nachfolgende Zeuge Gottlob Özdemir sah das Kippen und den Einschlag. Seine ungefähre Geschwindigkeitsschätzung von 55 km/h ist keine Messung; sie bietet jedoch keinen Anhalt für eine Überschreitung der zulässigen 70 km/h. Die Klägerin war angeschnallt. Der Rettungsdienst fand das Telefon in der verschlossenen Mittelkonsole. Beweis: Anlage K1; Zeugnis Gottlob Özdemir, Weidenbogen 14, Würzburg, sowie Amalia Benz, zu laden über Rettungswache Mainbogen, Hilfegasse 6, Würzburg.</w:t>
      </w:r>
    </w:p>
    <w:p>
      <w:r>
        <w:t>Die Privatgutachterin Dr. Selin Heller stellte ältere ausgedehnte Fäulnis der tragenden Wurzelansätze fest. Die zuvor dokumentierten äußeren Anzeichen hätten eine vertiefte Untersuchung erfordert. Nach ihrer Beurteilung wäre der erhebliche Standfestigkeitsmangel dabei mit hoher Wahrscheinlichkeit entdeckt worden; bis zur Entfernung hätte der Fallbereich gesperrt werden müssen. Beweis: Anlage K3; gerichtliches baumfachliches Sachverständigengutachten unter Untersuchung der gesicherten Teile ML17-226. Der Privatbericht ist qualifizierter Parteivortrag und ersetzt den gerichtlichen Beweis nicht.</w:t>
      </w:r>
    </w:p>
    <w:p>
      <w:r>
        <w:t>Bei rechtzeitiger Untersuchung und Absicherung hätte die Klägerin den Fallbereich nicht befahren. Zwischen Warnung und Unfall lagen nahezu vier Wochen. Selbst wenn keine sofortige Fällung geboten gewesen sein sollte, hätte der Beklagte den konkreten Verdacht nicht ohne Termin und ohne Nachverfolgung liegen lassen dürfen. Der Baumsturz wird nicht allein aus dem nachträglichen Schadensbild als vorhersehbar behauptet; die Klägerin stützt sich auf die ausdrücklich vor dem Ereignis festgehaltenen Hinweise.</w:t>
      </w:r>
    </w:p>
    <w:p>
      <w:pPr>
        <w:pStyle w:val="Heading1"/>
      </w:pPr>
      <w:r>
        <w:t>5. Amtspflichtverletzung und Gegenargumente</w:t>
      </w:r>
    </w:p>
    <w:p>
      <w:r>
        <w:t>Art. 9 Abs. 1 und Abs. 5 BayStrWG ordnet die Straßenunterhaltung und Überwachung der Verkehrssicherheit dem öffentlichen Amt zu. Die Sicherung schützt gerade die ordnungsgemäßen Benutzer der Straße. Die Klägerin gehört dazu. Art. 10 Abs. 1 BayStrWG ergänzt die Verantwortung der Straßenbaubehörde für die Einhaltung der öffentlich-rechtlichen Vorschriften und anerkannten technischen Regeln; daraus wird keine eigenständige Übertragung auf die Gemeinde abgeleitet.</w:t>
      </w:r>
    </w:p>
    <w:p>
      <w:r>
        <w:t>Es besteht keine Pflicht zur Beseitigung jedes natürlichen Baumrisikos. Der BGH begrenzt die Sicherung auf zumutbare Maßnahmen und unterscheidet konkrete Verdachtszeichen von unvermeidbaren Gefahren gesunder Bäume: BGH, Urteil vom 06.03.2014 – Az. III ZR 352/13, amtlicher Entscheidungstext, Rn. 7–8 und 12. Die Entscheidung betrifft Thüringer Landesrecht und einen natürlichen Astbruch; ihre bundesrechtlichen Sicherungsmaßstäbe werden herangezogen, die bayerische Amtszuordnung folgt gesondert aus Art. 9 Abs. 5 BayStrWG. Hier bestehen mit den vorgefundenen Schäden und der Warnmeldung konkrete Anknüpfungstatsachen. Die bloße Baumart oder das spätere Schadensausmaß sind nicht der Haftungsgrund.</w:t>
      </w:r>
    </w:p>
    <w:p>
      <w:r>
        <w:t>Der Beklagte handelte jedenfalls fahrlässig, weil eine eingegangene konkrete Warnung ohne ausgeführten Prüfauftrag und ohne Nachkontrolle blieb. Die eigene vertragliche Zuständigkeitsverteilung verstärkt die tatsächliche Zuordnung dieses Versäumnisses. Eine möglicherweise zusätzlich fehlerhafte Reaktion der Gemeinde beseitigt die selbständige Pflicht des Beklagten nicht. Ob ihm aus dem Kontrollvertrag ein Rückgriff zusteht, wird im Innenverhältnis geklärt. Ein feststehender und realisierbarer anderweitiger Ersatzanspruch der Klägerin ist nicht aufgezeigt; insbesondere ist die bloße Vertragsforderung des Beklagten gegen die Gemeinde kein eigener Ersatzanspruch der Klägerin. Eine private Kaskoversicherung besteht nicht. Die Klägerin hat keine rechtzeitig verfügbare Schutzmöglichkeit ungenutzt gelassen; § 839 Abs. 3 BGB steht nicht entgegen.</w:t>
      </w:r>
    </w:p>
    <w:p>
      <w:r>
        <w:t>Ein Mitverschulden nach § 254 BGB ergibt sich aus dem dokumentierten Verlauf nicht. Der Beklagte muss konkrete hierfür erhebliche Umstände vortragen. Die Klägerin verlangt keine automatische Beweislastumkehr. Ebenso wenig rechtfertigt das abstrakte Schlagwort Betriebsgefahr ohne Prüfung der einschlägigen Zurechnungsvoraussetzungen einen pauschalen Abzug von 20 oder 25 Prozent. Ein zweites beteiligtes Kraftfahrzeug liegt nicht vor; die Baumgefahr war für die Klägerin vor ihrem plötzlichen Eintritt nicht erkennbar.</w:t>
      </w:r>
    </w:p>
    <w:p>
      <w:pPr>
        <w:pStyle w:val="Heading1"/>
      </w:pPr>
      <w:r>
        <w:t>6. Verletzungen und Schmerzensgeld</w:t>
      </w:r>
    </w:p>
    <w:p>
      <w:r>
        <w:t>Die Klägerin erlitt eine instabile Lendenwirbelfraktur mit inkompletter neurologischer Schädigung und eine Fraktur des rechten Unterarms. Zwei Operationen, die stationäre Akutbehandlung und anschließende Rehabilitation sind dokumentiert. Am 28. September benötigte sie Gehhilfen und auf längeren Wegen einen Rollstuhl. Sie leidet unter täglichen Schmerzen und kann Lasten und Treppen derzeit nicht selbständig bewältigen. Beweis: Anlage K4; sachverständiges Zeugnis Dr. Marlene Vogel, Unfallklinik Mainbogen, Klinikring 12, Würzburg, nach Entbindung von der Schweigepflicht; medizinisches Sachverständigengutachten.</w:t>
      </w:r>
    </w:p>
    <w:p>
      <w:r>
        <w:t>Nach § 253 Abs. 2 BGB ist ein angemessenes Schmerzensgeld geschuldet. Die Orientierung von 90.000 EUR knüpft an Verletzungsschwere, Eingriffe, bisherige Dauer und die erhebliche Ungewissheit der funktionellen Erholung an. Sie ist keine behauptete Vergleichstabelle und kein aus einer fremden Entscheidung übernommener Tarif. Eine dauerhafte vollständige Lähmung wird nicht behauptet. Der Antrag erfasst in einheitlicher Bewertung alle im maßgeblichen Entscheidungszeitpunkt bekannten oder objektiv vorhersehbaren immateriellen Folgen. Eine künstliche Teilklage nur über die ersten Wochen wird nicht erhoben. Der Feststellungsantrag betrifft ausschließlich materielle Schäden.</w:t>
      </w:r>
    </w:p>
    <w:p>
      <w:pPr>
        <w:pStyle w:val="Heading1"/>
      </w:pPr>
      <w:r>
        <w:t>7. Bezifferte materielle Positionen</w:t>
      </w:r>
    </w:p>
    <w:p>
      <w:r>
        <w:t>Die Haushaltshilfe kostet 3.500 EUR für 140 tatsächlich abgerechnete Stunden zu 25 EUR. Die Tätigkeiten ersetzen den vorher von der Klägerin übernommenen Anteil im Dreipersonenhaushalt. Der unveränderte Eigenanteil ihres Ehemanns wird nicht bezahlt; seine zusätzliche unentgeltliche Unterstützung wird hier nicht nochmals bewertet. Die Rechnung betrifft einen abgeschlossenen Zeitraum bis 25. September. Genau diese abgerechneten Leistungen sind vom Feststellungsantrag ausgenommen; zusätzlicher ungedeckter Bedarf nach diesem Zeitraum wird dadurch nicht abgeschnitten. Beweis: Anlage K5, Zeugnis Hermine Daubner, Rosenquergasse 20, Würzburg; Zeugnis Friedrich Seifert, Anschrift der Klägerin. Die medizinische Erforderlichkeit ist erforderlichenfalls sachverständig zu klären.</w:t>
      </w:r>
    </w:p>
    <w:p>
      <w:r>
        <w:t>Hinzu kommen 480 EUR für vier notwendige Fahrten zu angeordneten Untersuchungen, 18.200 EUR Fahrzeugschaden und 550 EUR Bergung. Der Fahrzeugbetrag beruht auf 19.800 EUR Wiederbeschaffungswert abzüglich tatsächlich erzieltem Restwert von 1.600 EUR. Der ausgewertete Privatmarkt enthält keinen gesondert abziehbaren Umsatzsteueranteil. Ein Neupreis wird nicht verlangt. Beweis: Anlage K5; Zeugnis und erforderlichenfalls Sachverständigengutachten zum Fahrzeugwert, Leopold Nowak, Prüfbogen 4, Würzburg. Die Summe beträgt genau 22.730 EUR.</w:t>
      </w:r>
    </w:p>
    <w:p>
      <w:r>
        <w:t>Die Krankenkasse hat für die konkret genannten Haushaltshilfe- und Beförderungspositionen keine sachlich und zeitlich entsprechenden Leistungen erbracht oder nach den dokumentierten Entscheidungen zu erbringen. Übergegangene Krankenhaus- und Rehabilitationskosten sind ausgenommen. Maßgeblich ist bei § 116 Abs. 1 SGB X nicht allein, ob schon Geld floss, sondern auch, ob entsprechende Sozialleistungen zu erbringen sind. Die Klägerin beansprucht deshalb weder einen ihr nicht mehr zustehenden Trägerregress noch einen doppelten Ersatz. Die Angaben sind vor einer tatsächlichen Einreichung anhand aktueller Trägerauskünfte fortzuschreiben.</w:t>
      </w:r>
    </w:p>
    <w:p>
      <w:pPr>
        <w:pStyle w:val="Heading1"/>
      </w:pPr>
      <w:r>
        <w:t>8. Feststellung, Zinsen und Verfahrensstand</w:t>
      </w:r>
    </w:p>
    <w:p>
      <w:r>
        <w:t>Weitere materielle Schäden sind wegen möglicher zusätzlicher Rehabilitation, Hilfsmittel, Wohnanpassung, Haushaltsunterstützung und Erwerbseinschränkungen konkret möglich. Nach dem Befund vom 28. September besteht der Hilfebedarf fort; die bisher abgerechnete Haushaltshilfe endet dagegen schon am 25. September. Die Schadensentwicklung ist insgesamt noch nicht abgeschlossen. Die weiteren Bedarfe und die dazugehörigen Drittleistungen sind auch für den anschließenden Zeitraum bis zu diesem Entwurf noch nicht abschließend abgegrenzt und beziffert. Daraus folgt das Feststellungsinteresse nach § 256 Abs. 1 ZPO. Der Antrag erfasst diese weiteren materiellen Schäden ohne künstlichen späteren Beginn, nimmt aber die mit Antrag 1.2 verlangten Positionen und Ansprüche Dritter ausdrücklich aus. Die Klägerin verlangt kein heute ungeprüftes lebenslanges Kapital und übernimmt insbesondere keine interne Reserve als Schaden.</w:t>
      </w:r>
    </w:p>
    <w:p>
      <w:r>
        <w:t>Die außergerichtliche Forderung und die Antwort des Beklagten ergeben sich aus Anlagen K8 und K9. Bei Erstellung dieses Entwurfs laufen die dort genannten Fristen noch. Deshalb werden ausschließlich Prozesszinsen aus §§ 291, 288 Abs. 1 Satz 2 BGB seit dem Tag nach einer erst künftig möglichen Zustellung beantragt. Weder Rechtshängigkeit noch Verzug werden rückwirkend fingiert. Eine Einreichung setzt die abschließende Mandantenentscheidung und den Abgleich des aktuellen Behandlungs- und Zahlungsstands voraus.</w:t>
      </w:r>
    </w:p>
    <w:p>
      <w:r>
        <w:t>Leona Ehlers</w:t>
        <w:br/>
        <w:t>Rechtsanwältin – Entwurf ohne Einreichung</w:t>
      </w:r>
    </w:p>
    <w:p>
      <w:pPr>
        <w:pStyle w:val="Heading1"/>
      </w:pPr>
      <w:r>
        <w:t>9. Anlagenverzeichnis</w:t>
      </w:r>
    </w:p>
    <w:p>
      <w:r>
        <w:t>K1: Unfallhergang und begrenzte Zeugenaussagen</w:t>
        <w:br/>
        <w:t>Datei: kommunikation-und-deckung/02_Unfall_und_Zeugen.docx</w:t>
      </w:r>
    </w:p>
    <w:p>
      <w:r>
        <w:t>K2: Straßenklassifizierung, Baulast und Dienstleistungsvertrag</w:t>
        <w:br/>
        <w:t>Datei: kommunikation-und-deckung/03_Strasse_und_Kontrollvertrag.docx</w:t>
      </w:r>
    </w:p>
    <w:p>
      <w:r>
        <w:t>K3: Kontrollnotiz vor dem Unfall und späterer Sachverständigenbefund</w:t>
        <w:br/>
        <w:t>Datei: kommunikation-und-deckung/04_Baumkontrolle.docx</w:t>
      </w:r>
    </w:p>
    <w:p>
      <w:r>
        <w:t>K4: Behandlungsverlauf und begrenzte Prognose</w:t>
        <w:br/>
        <w:t>Datei: kommunikation-und-deckung/05_Behandlung_und_Prognose.docx</w:t>
      </w:r>
    </w:p>
    <w:p>
      <w:r>
        <w:t>K5: Bezahlte Haushaltshilfe, Fahrten, Pkw-Wert und Drittleistungsabgleich</w:t>
        <w:br/>
        <w:t>Datei: kommunikation-und-deckung/06_Eigenaufwand.docx</w:t>
      </w:r>
    </w:p>
    <w:p>
      <w:r>
        <w:t>K6: Übermittlung der konkreten Warnung an den Landkreis</w:t>
        <w:br/>
        <w:t>Datei: kommunikation-und-deckung/08_Gemeinde_Warnmeldung.eml</w:t>
      </w:r>
    </w:p>
    <w:p>
      <w:r>
        <w:t>K7: Zuständigkeit, Empfang und streitige Kontrolle</w:t>
        <w:br/>
        <w:t>Datei: kommunikation-und-deckung/09_Landkreis_Antwort.pdf</w:t>
      </w:r>
    </w:p>
    <w:p>
      <w:r>
        <w:t>K8: Außergerichtliche Forderung und Anlagenübermittlung</w:t>
        <w:br/>
        <w:t>Datei: kommunikation-und-deckung/13_Anspruchsschreiben.pdf</w:t>
      </w:r>
    </w:p>
    <w:p>
      <w:r>
        <w:t>K9: Offene Regulierung und keine Anerkennung</w:t>
        <w:br/>
        <w:t>Datei: kommunikation-und-deckung/14_Landkreis_Fristantwort.eml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Seifert gegen Landkreis Mainleiten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