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Alina Ahrens</w:t>
        <w:br/>
        <w:t>Gerstenbogen 11, 97070 Würzburg</w:t>
      </w:r>
    </w:p>
    <w:p>
      <w:r>
        <w:t>An die Kommunalversorgung Mainbogen GmbH</w:t>
        <w:br/>
        <w:t>Geschäftsführung und Rechtsabteilung</w:t>
        <w:br/>
        <w:t>Netzlaubenweg 4, 97076 Würzburg</w:t>
      </w:r>
    </w:p>
    <w:p>
      <w:r>
        <w:t>04.10.2026</w:t>
      </w:r>
    </w:p>
    <w:p>
      <w:pPr>
        <w:pStyle w:val="Title"/>
      </w:pPr>
      <w:r>
        <w:t>Bezahlte Trocknungskosten: begrenzte Zahlungsaufforderung</w:t>
      </w:r>
    </w:p>
    <w:p>
      <w:r>
        <w:t>Sehr geehrte Damen und Herren,</w:t>
      </w:r>
    </w:p>
    <w:p>
      <w:r>
        <w:t>ich vertrete ausschließlich Eberhard Zimt, Inhaber von Zimt &amp; Zange am Kaffeebogen 6 in Würzburg. Im Anschluss an seine vorläufige Forderungsanmeldung verlange ich zunächst 2.400,00 EUR netto für die tatsächlich ausgeführten und am 19. September bezahlten Trocknungsarbeiten. Bitte zahlen Sie diesen Betrag bis zum 16. Oktober 2026 an meinen Mandanten. Die erbetene Rückmeldung bis zum 12. Oktober bleibt sinnvoll; eine bereits abgelaufene Zahlungsfrist wird daraus nicht hergeleitet.</w:t>
      </w:r>
    </w:p>
    <w:p>
      <w:r>
        <w:t>Ihr eigener Einsatzbericht lokalisiert den Längsriss etwa 1,5 Meter vor der Hauswand in der Straßenverteilungsleitung. Der Zusammenhang mit dem Wassereintritt wird durch dessen Rückgang nach der Absperrung gestützt. Eine ursprünglich von der Mitarbeiterin vermutete Heizungsleckage wurde bei der Sichtkontrolle nicht festgestellt. Wir stützen die Forderung insbesondere auf § 2 Abs. 1 HPflG. Der Gebäudestandort der beschädigten Sachen allein erfüllt den Ausschluss des § 2 Abs. 3 Nr. 1 HPflG nicht, wenn das Wasser aus der außerhalb gelegenen Anlage austrat.</w:t>
      </w:r>
    </w:p>
    <w:p>
      <w:r>
        <w:t>Die Rechnung betrifft ausschließlich Abpumpen, Trocknung, Reinigung und Feuchtemessungen. Frau Waffel hat ergänzend ihre etwaigen Ansprüche gegen Sie aus genau dieser Position bis zur Nettosumme abgetreten; mein Mandant hat angenommen. Damit wird kein zweiter Kostenersatz beansprucht. Umsatzsteuer ist wegen des Vorsteuerabzugs nicht Bestandteil der Forderung. Die drei gebrauchten Mühlen, Elektroarbeiten und ein etwaiger Erwerbsschaden sind ausdrücklich nicht Gegenstand dieses bezifferten Teilbegehrens. Über diese Positionen wird auch kein Verzicht erklärt.</w:t>
      </w:r>
    </w:p>
    <w:p>
      <w:r>
        <w:t>Bitte erhalten Sie das ausgebaute Rohrstück und ermöglichen Sie eine abgestimmte Besichtigung. Benennen Sie konkrete Tatsachen, auf die Sie einen Ausschluss oder ein Mitverschulden stützen. Der bislang ungeklärte Zustand einer älteren Wanddurchführung ist noch kein Nachweis einer dem Mandanten zurechenbaren Pflichtverletzung.</w:t>
      </w:r>
    </w:p>
    <w:p>
      <w:r>
        <w:t>Mit freundlichen Grüßen</w:t>
        <w:br/>
        <w:t>Alina Ahrens</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Bezahlte Trocknungskosten: begrenzte Zahlungsaufforderung</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