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Kommunalversorgung Mainbogen GmbH</w:t>
        <w:br/>
        <w:t>Mira Morgenrot · Netzlaubenweg 4 · 97076 Würzburg</w:t>
      </w:r>
    </w:p>
    <w:p>
      <w:r>
        <w:t>Frankenbogen Kommunalversicherung VVaG</w:t>
        <w:br/>
        <w:t>Frau Gerlinde Hahn · Versicherungsbogen 8 · 97080 Würzburg</w:t>
      </w:r>
    </w:p>
    <w:p>
      <w:r>
        <w:t>05.10.2026</w:t>
      </w:r>
    </w:p>
    <w:p>
      <w:pPr>
        <w:pStyle w:val="Title"/>
      </w:pPr>
      <w:r>
        <w:t>Straßenleitung Kaffeebogen – Ergänzung zur Schadenanmeldung</w:t>
      </w:r>
    </w:p>
    <w:p>
      <w:r>
        <w:t>Sehr geehrte Frau Hahn,</w:t>
      </w:r>
    </w:p>
    <w:p>
      <w:r>
        <w:t>wir melden Ihnen den Rohrbruch vom 14. September anhand des heute ergänzten Aktenstands. Betreiberin der außerhalb des Gebäudes liegenden Straßenverteilungsleitung ist unsere Gesellschaft. Frau Waffel ist Eigentümerin des betroffenen Gebäudes und nicht Betreiberin des Straßennetzes. Das Leck und das Nachlassen des Wassereintritts nach der Absperrung sind im Einsatzbericht und Störungslog dokumentiert. Bitte legen Sie diese konkreten Daten zugrunde und behandeln Sie den Vorgang nicht ohne Ortsprüfung als hausinternen Leitungsschaden.</w:t>
      </w:r>
    </w:p>
    <w:p>
      <w:r>
        <w:t>Herr Zimt verfolgt nun zunächst eine offene Teilforderung von 2.400 EUR netto für bezahlte Trocknungsleistungen. Die ergänzenden Nachrichten grenzen die betroffenen Leistungen und eine begrenzte Abtretung der Eigentümerin ab. Weder der gesamte vorläufige Ansatz von 15.100 EUR noch ausgefallener Umsatz wird als bereits feststehender Schaden in diese Forderung übernommen. Die Mühlen sind gebraucht und noch nicht abschließend auf Reparierbarkeit geprüft. Die Elektroarbeiten benötigen ebenfalls eine saubere Trennung zwischen Eigentümer- und Mieterpositionen.</w:t>
      </w:r>
    </w:p>
    <w:p>
      <w:r>
        <w:t>Wir haben bislang keine Haftung anerkannt oder eine Zahlung geleistet. Frau Klee ist ausschließlich durch unsere Gesellschaft mit der rechtlichen Erstprüfung beauftragt. Bitte bestätigen Sie Ihre Deckungsposition und die dafür tatsächlich zugrunde gelegten Vertragsunterlagen. Unsere alte Ordnerbezeichnung „AKHA/Rückdeckung“ enthält keinen Beitrittsnachweis und soll auch von Ihnen nicht als solcher verwendet werden.</w:t>
      </w:r>
    </w:p>
    <w:p>
      <w:r>
        <w:t>Wir möchten den Schaden sachgerecht regulieren und zugleich Doppelanmeldungen vermeiden. Teilen Sie bitte mit, ob Sie mit Frau Waffel eine eigene Forderungsaufstellung abstimmen oder ob wir diese zunächst über die Bevollmächtigten anfordern sollen. Die Antwortbitte des Herrn Zimt zum 12. Oktober bleibt bestehen. Eine Meldung durch uns an einen Rückversicherer ist ohne belegten Meldeweg weder vorgenommen noch beauftragt.</w:t>
      </w:r>
    </w:p>
    <w:p>
      <w:r>
        <w:t>Mit freundlichen Grüßen</w:t>
        <w:br/>
        <w:t>Mira Morgenrot</w:t>
        <w:br/>
        <w:t>Kommunalversorgung Mainbogen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Straßenleitung Kaffeebogen – Ergänzung zur Schadenanmeldung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