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Frankenbogen Kommunalversicherung VVaG</w:t>
        <w:br/>
        <w:t>Gerlinde Hahn · Versicherungsbogen 8 · 97080 Würzburg</w:t>
      </w:r>
    </w:p>
    <w:p>
      <w:r>
        <w:t>Kommunalversorgung Mainbogen GmbH</w:t>
        <w:br/>
        <w:t>Frau Mira Morgenrot · Netzlaubenweg 4 · 97076 Würzburg</w:t>
      </w:r>
    </w:p>
    <w:p>
      <w:r>
        <w:t>05.10.2026</w:t>
      </w:r>
    </w:p>
    <w:p>
      <w:pPr>
        <w:pStyle w:val="Title"/>
      </w:pPr>
      <w:r>
        <w:t>Rohrbruch Mainbogen – Deckungsstand und Meldeweg</w:t>
      </w:r>
    </w:p>
    <w:p>
      <w:r>
        <w:t>Sehr geehrte Frau Morgenrot,</w:t>
      </w:r>
    </w:p>
    <w:p>
      <w:r>
        <w:t>wir bestätigen nach Eingang des Archivsatzes um 14:20 Uhr den für diese synthetische Akte gesetzten Vertrag WV-MB-2026 vom 1. Januar bis 31. Dezember 2026. Der versicherte Betrieb umfasst die öffentliche Wasserversorgung Ihrer Gesellschaft einschließlich der im Einsatzbericht bezeichneten Straßenverteilungsleitung. Die Deckungssumme beträgt 5.000.000 EUR je Ereignis. Für die Entschädigung ist ein Selbstbehalt Ihrer Gesellschaft von 1.000 EUR je Ereignis vereinbart. Abwehrkosten werden nach der gesonderten Kostenzusage geführt.</w:t>
      </w:r>
    </w:p>
    <w:p>
      <w:r>
        <w:t>Für den gemeldeten Wasseraustritt übernehmen wir die Prüfung der gesetzlichen Haftpflicht und die vereinbarte Anspruchsabwehr. Die Einbeziehung des Betriebs bedeutet noch keine Anerkennung aller angemeldeten Positionen. Bei der Trocknung müssen insbesondere Zahlung, Leistungsgegenstand und die Reichweite der Abtretung zusammenpassen. Bei den Mühlen ist der bloße Ersatzbeschaffungspreis kein bereits festgestellter Schaden. Ein vier Tage entfallener Umsatz darf nicht ohne Abzug ersparter Aufwendungen als entgangener Gewinn behandelt werden.</w:t>
      </w:r>
    </w:p>
    <w:p>
      <w:r>
        <w:t>Die neue Bestätigung ersetzt nicht rückwirkend Ihre Nachricht vom 2. Oktober. Damals fehlten diese Vertragsdaten. Sie begründet auch keine Mitgliedschaft in einem bestimmten Schadenausgleich. Für dieses Szenario ist nur unsere Direktversicherung belegt. Unsere eigene Rückversicherung wird von uns verwaltet; Ihre Gesellschaft meldet dort keinen Anspruch an. Die vorsorgliche Rückfrage zu dem alten Ordnernamen wird getrennt dokumentiert, damit daraus keine Phantomforderung entsteht.</w:t>
      </w:r>
    </w:p>
    <w:p>
      <w:r>
        <w:t>Für die jetzige Teilforderung könnte eine später vollständig berechtigte Zahlung von 2.400 EUR im Innenverhältnis zu 1.000 EUR Selbstbehalt und 1.400 EUR Versicherungsleistung führen. Das ist ein bedingtes Rechenbeispiel, keine Abrechnung oder Zahlungszusage. Weitere berechtigte Ansprüche desselben Ereignisses lösen nicht nochmals denselben Selbstbehalt aus. Bitte führen Sie bis zur gemeinsamen Freigabe weder diese beiden Beträge als Zahlung noch eine weitere Ausgleichserstattung als Forderung.</w:t>
      </w:r>
    </w:p>
    <w:p>
      <w:r>
        <w:t>Mit freundlichen Grüßen</w:t>
        <w:br/>
        <w:t>Gerlinde Hahn</w:t>
        <w:br/>
        <w:t>Haftpflicht Versorgung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Rohrbruch Mainbogen – Deckungsstand und Meldeweg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