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Rechtsanwältin Leonie von Tann</w:t>
        <w:br/>
        <w:t>Mohnanger 8, 97082 Lindenquell bei Würzburg</w:t>
      </w:r>
    </w:p>
    <w:p>
      <w:r>
        <w:t>Stadt Lindenquell – Rechtsstelle</w:t>
        <w:br/>
        <w:t>Rathausplatz 1, 97082 Lindenquell bei Würzburg</w:t>
      </w:r>
    </w:p>
    <w:p>
      <w:r>
        <w:t>05.10.2026 · Unser Zeichen VT 26/107</w:t>
      </w:r>
    </w:p>
    <w:p>
      <w:pPr>
        <w:pStyle w:val="Title"/>
      </w:pPr>
      <w:r>
        <w:t>Oliveira gegen Stadt – Konkretisierte Forderung und Meldungsbearbeitung</w:t>
      </w:r>
    </w:p>
    <w:p>
      <w:r>
        <w:t>Sehr geehrte Frau Färber,</w:t>
      </w:r>
    </w:p>
    <w:p>
      <w:r>
        <w:t>ich vertrete Herrn Celestino Oliveira wegen des Radschadens vom 9. September im Hagebuttenweg. Die geltend gemachte Summe wird auf 741,50 EUR begrenzt. Verlangt werden 499,80 EUR für die Felge, 59,50 EUR für die Achsprüfung und 182,20 EUR für das Abschleppen. Der im Juli bereits beanstandete Reifen und die Montageposition werden nicht in den vorbereiteten Zahlungsantrag aufgenommen.</w:t>
      </w:r>
    </w:p>
    <w:p>
      <w:r>
        <w:t>Der Werkstattbefund unterscheidet den alten Seitenwandriss von der frischen Felgenverformung. Diese Trennung sollte auch Ihre Prüfung tragen. Mein Mandant behauptet weder einen von Anfang an neuwertigen Reifen noch eine bereits belegte Unfallursächlichkeit jeder Rechnungszeile. Felge und Reifen werden bei der Werkstatt zur möglichen Untersuchung aufbewahrt.</w:t>
      </w:r>
    </w:p>
    <w:p>
      <w:r>
        <w:t>Für die Haftung kommt es auf den Zustand vor dem Unfall und die zumutbare Bearbeitung der Meldung vom Vorabend an. Frau Pflaum hat nun erläutert, dass sie bereits am 7. September offene Ränder sah. Exakte Maße nennt sie nicht. Bitte teilen Sie mit, wie konkrete Gefahrenhinweise nach Ende des Außendiensts gesichtet und nötigenfalls weitergeleitet werden. Allein aus dem späteren Öffnen um 07:18 Uhr ergibt sich noch nicht, ob zuvor eine zumutbare Sicherung möglich gewesen wäre.</w:t>
      </w:r>
    </w:p>
    <w:p>
      <w:r>
        <w:t>Mein Mandant hält an seiner ungefähren Geschwindigkeit von 30 bis 35 km/h fest. Er verschweigt dieses Gegenargument nicht. Die Messung vom 10. September ist ein späterer Befund und darf die fehlende Messung am Unfallmorgen nicht ersetzen. Ich bitte um eine sachbezogene Antwort bis zum bereits erbetenen 14. Oktober und bin für eine außergerichtliche Klärung der noch offenen Kausalitätsfragen offen.</w:t>
      </w:r>
    </w:p>
    <w:p>
      <w:r>
        <w:t>Mit freundlichen Grüßen</w:t>
        <w:br/>
        <w:t>Leonie von Tann</w:t>
        <w:br/>
        <w:t>Rechtsanwältin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Oliveira gegen Stadt – Konkretisierte Forderung und Meldungsbearbeitung</dc:title>
  <dc:subject/>
  <dc:creator>Rechtsanwältin Leonie von Tann, Mohnanger 8, 97082 Lindenquell bei Würzburg</dc:creator>
  <cp:keywords/>
  <dc:description>generated by python-docx</dc:description>
  <cp:lastModifiedBy/>
  <cp:revision>1</cp:revision>
  <dcterms:created xsi:type="dcterms:W3CDTF">2026-10-01T09:00:00Z</dcterms:created>
  <dcterms:modified xsi:type="dcterms:W3CDTF">2026-10-01T09:00:00Z</dcterms:modified>
  <cp:category/>
</cp:coreProperties>
</file>