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Stadt Lindenquell – Rechtsstelle</w:t>
        <w:br/>
        <w:t>Rathausplatz 1, 97082 Lindenquell bei Würzburg</w:t>
      </w:r>
    </w:p>
    <w:p>
      <w:r>
        <w:t>Mainbogen Kommunalversicherung VVaG – Schadenabteilung</w:t>
        <w:br/>
        <w:t>Kornblumenstraße 18, 97084 Würzburg</w:t>
      </w:r>
    </w:p>
    <w:p>
      <w:r>
        <w:t>05.10.2026</w:t>
      </w:r>
    </w:p>
    <w:p>
      <w:pPr>
        <w:pStyle w:val="Title"/>
      </w:pPr>
      <w:r>
        <w:t>Hagebuttenweg: Schadenanzeige und Grenzen des Meldebefunds</w:t>
      </w:r>
    </w:p>
    <w:p>
      <w:r>
        <w:t>Sehr geehrter Herr Salbei,</w:t>
      </w:r>
    </w:p>
    <w:p>
      <w:r>
        <w:t>wir melden die Forderung des Herrn Celestino Oliveira wegen des Fahrbahnausbruchs am Hagebuttenweg. Die heute um 16:45 Uhr aus dem Archiv übermittelte Ausfertigung MK-AH-LQ-2026 ordnet den örtlichen Straßenunterhalt dem kommunalen Haftpflichtvertrag zu. Der bisherige Schriftwechsel über fehlende Vertragsbedingungen bleibt als damaliger Stand richtig. Erst mit den heutigen Unterlagen können wir den Vorgang vollständig zur Deckungsprüfung vorlegen.</w:t>
      </w:r>
    </w:p>
    <w:p>
      <w:r>
        <w:t>Die Forderung wurde auf 741,50 EUR begrenzt. Eingeklagt werden sollen 499,80 EUR für die Felge, 59,50 EUR für die Achsprüfung und 182,20 EUR für das Abschleppen. Der schon im Juli beanstandete Reifen und dessen Montage bleiben mit zusammen 178,50 EUR ausdrücklich außerhalb dieses Entwurfs. Wir wollen den Vorschaden gleichwohl für die technische Ursache des Druckverlusts und des Abschleppbedarfs getrennt prüfen lassen. Eine rein rechnerische Kürzung ersetzt diese Kausalitätsfrage nicht.</w:t>
      </w:r>
    </w:p>
    <w:p>
      <w:r>
        <w:t>Die Bürgermeldung ging am 8. September um 16:42 Uhr ein und wurde erst am 9. September um 07:18 Uhr geöffnet. Der behauptete Unfall lag dazwischen, um 06:50 Uhr. Die Mitteilung enthielt weder Maße noch Foto. Die acht Zentimeter Tiefe wurden am 10. September festgestellt; sie sind kein eigener Messwert vom Unfallmorgen. Ob vor dem Unfall ein zeitgerechtes Tätigwerden möglich und geboten war, hängt deshalb sowohl von der damaligen Gefahr als auch von der konkreten Organisation unseres Meldesystems ab.</w:t>
      </w:r>
    </w:p>
    <w:p>
      <w:r>
        <w:t>Die Straße steht in städtischer Baulast. Der Landkreis unterhält den Hagebuttenweg nicht und erhält keine operative Weiterleitung sämtlicher Serviceformulare. Eine zusätzliche Haftung aus unserer bloßen Kreisangehörigkeit wird nicht behauptet. Bitte beurteilen Sie Kontroll- und Reaktionspflicht anhand dieses Straßenabschnitts, nicht mit einem abstrakten täglich geltenden Kontrollrhythmus.</w:t>
      </w:r>
    </w:p>
    <w:p>
      <w:r>
        <w:t>Wir haben um Beweissicherung bei der Werkstatt gebeten. Die Frist der Klägerseite bis zum 14. Oktober bleibt offen. Weder einen Vergleich noch eine pauschale Anerkennung haben wir abgegeben. Die Meldung dient der geordneten Sachprüfung und darf nicht mit einer Zusage über Versicherung oder Rückdeckung gegenüber Herrn Oliveira verwechselt werden.</w:t>
      </w:r>
    </w:p>
    <w:p>
      <w:r>
        <w:t>Mit freundlichen Grüßen</w:t>
        <w:br/>
        <w:t>Kunigunde Färber</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Hagebuttenweg: Schadenanzeige und Grenzen des Meldebefunds</dc:title>
  <dc:subject/>
  <dc:creator>Stadt Lindenquell – Rechtsstelle
Rathausplatz 1, 97082 Lindenquell bei Würzburg</dc:creator>
  <cp:keywords/>
  <dc:description>generated by python-docx</dc:description>
  <cp:lastModifiedBy/>
  <cp:revision>1</cp:revision>
  <dcterms:created xsi:type="dcterms:W3CDTF">2026-10-01T09:00:00Z</dcterms:created>
  <dcterms:modified xsi:type="dcterms:W3CDTF">2026-10-01T09:00:00Z</dcterms:modified>
  <cp:category/>
</cp:coreProperties>
</file>