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Mainbogen Kommunalversicherung VVaG – Schadenabteilung</w:t>
        <w:br/>
        <w:t>Kornblumenstraße 18, 97084 Würzburg</w:t>
      </w:r>
    </w:p>
    <w:p>
      <w:r>
        <w:t>Stadt Lindenquell – Rechtsstelle</w:t>
        <w:br/>
        <w:t>Rathausplatz 1, 97082 Lindenquell bei Würzburg</w:t>
      </w:r>
    </w:p>
    <w:p>
      <w:r>
        <w:t>05.10.2026</w:t>
      </w:r>
    </w:p>
    <w:p>
      <w:pPr>
        <w:pStyle w:val="Title"/>
      </w:pPr>
      <w:r>
        <w:t>Oliveira: Konkrete Reaktionspflicht statt rückwirkender Gewissheit</w:t>
      </w:r>
    </w:p>
    <w:p>
      <w:r>
        <w:t>Sehr geehrte Frau Färber,</w:t>
      </w:r>
    </w:p>
    <w:p>
      <w:r>
        <w:t>wir bestätigen die Bearbeitung unter MK-AH-26-H24. Nach dem Vertrag MK-AH-LQ-2026 ist die gesetzliche Haftpflicht der Stadt aus Straßenunterhalt und Verkehrssicherung für das Kalenderjahr 2026 erfasst. Für Sachschäden sind im Szenario 5.000.000 EUR je Ereignis und ein Selbstbehalt von 500 EUR vereinbart. Prüfung, Abwehr und Befriedigung richten sich nach der tatsächlich begründeten Außenforderung. Der Selbstbehalt liefert weder einen Einwand des Geschädigten gegen den Vertrag noch einen pauschalen Kürzungsgrund gegen dessen Haftungsanspruch.</w:t>
      </w:r>
    </w:p>
    <w:p>
      <w:r>
        <w:t>Bitte klären Sie, wer am 8. September nach Ende der Außendienstschicht für dringende Hinweise erreichbar war und wie das Serviceformular gegenüber Bürgern beschrieben wurde. Eine regelmäßig erst morgens gelesene allgemeine Eingangsbox und eine als ständig überwacht beworbene Gefahrenmeldestelle wären unterschiedlich zu bewerten. Bisher liegt zu dieser konkreten Ausgestaltung kein hinreichender Beleg vor. Wir werden deshalb aus dem elektronischen Eingangszeitpunkt nicht automatisch gesicherte tatsächliche Kenntnis aller diensthabenden Kräfte ableiten.</w:t>
      </w:r>
    </w:p>
    <w:p>
      <w:r>
        <w:t>Der Wortlaut der Meldung spricht von einer aufbrechenden Flickstelle und einem Ausweichmanöver beim Radfahren. Er begründet konkreten Prüfbedarf, beantwortet aber nicht von selbst Dringlichkeit, Größe und Erkennbarkeit am Unfallmorgen. Die spätere Vermessung und Frau Pflaums Ergänzung sind mit ihren jeweiligen Wahrnehmungszeiten zu verwenden. Den ungesicherten Zustand am 9. September dürfen wir weder verharmlosen noch mit einer Messung vom Folgetag gleichsetzen.</w:t>
      </w:r>
    </w:p>
    <w:p>
      <w:r>
        <w:t>Zur Kausalität ist der alte Seitenwandschnitt getrennt von der frischen Felgenverformung zu behandeln. Die Selbstangabe von 30 bis 35 km/h bleibt sichtbar; eine feste Mitverschuldensquote ohne technische und örtliche Einordnung setzen wir nicht an. Die Werkstatt soll Reifen und Felge bis zur abgeschlossenen Abstimmung aufbewahren.</w:t>
      </w:r>
    </w:p>
    <w:p>
      <w:r>
        <w:t>Wir haben vorläufig 741,50 EUR als Außenreserve erfasst. Eine Zahlung oder Vergleichsvollmacht gegenüber dem Bürger ist damit nicht verbunden. Eine besondere Rückversicherungsmeldung und eine Beteiligung des Landkreises sind nach dem jetzigen Einzelfallstand nicht veranlasst. Bitte halten Sie den Antworttermin 14. Oktober ein und teilen Sie konkrete noch offene Fragen mit.</w:t>
      </w:r>
    </w:p>
    <w:p>
      <w:r>
        <w:t>Mit freundlichen Grüßen</w:t>
        <w:br/>
        <w:t>Severin Salbei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Oliveira: Konkrete Reaktionspflicht statt rückwirkender Gewissheit</dc:title>
  <dc:subject/>
  <dc:creator>Mainbogen Kommunalversicherung VVaG – Schadenabteilung
Kornblumenstraße 18, 97084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